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16"/>
      </w:tblGrid>
      <w:tr w:rsidR="00211E09" w:rsidRPr="009B64C2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09" w:rsidRPr="009B64C2" w:rsidRDefault="00A93D74" w:rsidP="00047251">
            <w:pPr>
              <w:pStyle w:val="1"/>
              <w:spacing w:before="0" w:beforeAutospacing="0" w:after="0" w:afterAutospacing="0" w:line="240" w:lineRule="atLeast"/>
              <w:jc w:val="center"/>
              <w:rPr>
                <w:rFonts w:asciiTheme="minorHAnsi" w:eastAsia="標楷體" w:hAnsiTheme="minorHAnsi" w:cs="Times New Roman"/>
                <w:sz w:val="36"/>
                <w:szCs w:val="36"/>
              </w:rPr>
            </w:pPr>
            <w:bookmarkStart w:id="0" w:name="_GoBack"/>
            <w:bookmarkEnd w:id="0"/>
            <w:r w:rsidRPr="009B64C2">
              <w:rPr>
                <w:rFonts w:asciiTheme="minorHAnsi" w:eastAsia="標楷體" w:hAnsiTheme="minorHAnsi" w:cs="Times New Roman"/>
                <w:sz w:val="36"/>
                <w:szCs w:val="36"/>
              </w:rPr>
              <w:t>含</w:t>
            </w:r>
            <w:r w:rsidR="00863734" w:rsidRPr="009B64C2">
              <w:rPr>
                <w:rFonts w:asciiTheme="minorHAnsi" w:eastAsia="標楷體" w:hAnsiTheme="minorHAnsi" w:cs="Times New Roman"/>
                <w:sz w:val="36"/>
                <w:szCs w:val="36"/>
              </w:rPr>
              <w:t>g</w:t>
            </w:r>
            <w:r w:rsidRPr="009B64C2">
              <w:rPr>
                <w:rFonts w:asciiTheme="minorHAnsi" w:eastAsia="標楷體" w:hAnsiTheme="minorHAnsi" w:cs="Times New Roman"/>
                <w:sz w:val="36"/>
                <w:szCs w:val="36"/>
              </w:rPr>
              <w:t>adolinium</w:t>
            </w:r>
            <w:r w:rsidRPr="009B64C2">
              <w:rPr>
                <w:rFonts w:asciiTheme="minorHAnsi" w:eastAsia="標楷體" w:hAnsiTheme="minorHAnsi" w:cs="Times New Roman"/>
                <w:sz w:val="36"/>
                <w:szCs w:val="36"/>
              </w:rPr>
              <w:t>類成分顯影劑</w:t>
            </w:r>
            <w:r w:rsidR="00C1197C" w:rsidRPr="009B64C2">
              <w:rPr>
                <w:rFonts w:asciiTheme="minorHAnsi" w:eastAsia="標楷體" w:hAnsiTheme="minorHAnsi" w:cs="Times New Roman"/>
                <w:sz w:val="36"/>
                <w:szCs w:val="36"/>
              </w:rPr>
              <w:t>藥品</w:t>
            </w:r>
            <w:r w:rsidR="00B32C39" w:rsidRPr="009B64C2">
              <w:rPr>
                <w:rFonts w:asciiTheme="minorHAnsi" w:eastAsia="標楷體" w:hAnsiTheme="minorHAnsi" w:cs="Times New Roman"/>
                <w:sz w:val="36"/>
                <w:szCs w:val="36"/>
              </w:rPr>
              <w:t>安全資訊風險溝通表</w:t>
            </w:r>
          </w:p>
        </w:tc>
      </w:tr>
      <w:tr w:rsidR="00211E09" w:rsidRPr="009B64C2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11E09" w:rsidRPr="009B64C2" w:rsidRDefault="00211E09" w:rsidP="00B970D4">
            <w:pPr>
              <w:pStyle w:val="1"/>
              <w:spacing w:before="0" w:beforeAutospacing="0" w:after="0" w:afterAutospacing="0" w:line="240" w:lineRule="atLeast"/>
              <w:jc w:val="right"/>
              <w:rPr>
                <w:rFonts w:asciiTheme="minorHAnsi" w:eastAsia="標楷體" w:hAnsiTheme="minorHAnsi" w:cs="Times New Roman"/>
                <w:b w:val="0"/>
                <w:sz w:val="24"/>
                <w:szCs w:val="24"/>
              </w:rPr>
            </w:pPr>
            <w:r w:rsidRPr="009B64C2">
              <w:rPr>
                <w:rFonts w:asciiTheme="minorHAnsi" w:eastAsia="標楷體" w:hAnsiTheme="minorHAnsi" w:cs="Times New Roman"/>
                <w:sz w:val="24"/>
                <w:szCs w:val="24"/>
              </w:rPr>
              <w:t xml:space="preserve">  </w:t>
            </w:r>
            <w:r w:rsidR="00B32C39" w:rsidRPr="009B64C2">
              <w:rPr>
                <w:rFonts w:asciiTheme="minorHAnsi" w:eastAsia="標楷體" w:hAnsiTheme="minorHAnsi" w:cs="Times New Roman"/>
                <w:b w:val="0"/>
                <w:sz w:val="24"/>
                <w:szCs w:val="24"/>
              </w:rPr>
              <w:t>製表</w:t>
            </w:r>
            <w:r w:rsidRPr="009B64C2">
              <w:rPr>
                <w:rFonts w:asciiTheme="minorHAnsi" w:eastAsia="標楷體" w:hAnsiTheme="minorHAnsi" w:cs="Times New Roman"/>
                <w:b w:val="0"/>
                <w:sz w:val="24"/>
                <w:szCs w:val="24"/>
              </w:rPr>
              <w:t>日期：</w:t>
            </w:r>
            <w:r w:rsidR="00B970D4" w:rsidRPr="009B64C2">
              <w:rPr>
                <w:rFonts w:asciiTheme="minorHAnsi" w:eastAsia="標楷體" w:hAnsiTheme="minorHAnsi" w:cs="Times New Roman"/>
                <w:b w:val="0"/>
                <w:sz w:val="24"/>
                <w:szCs w:val="24"/>
              </w:rPr>
              <w:t>106</w:t>
            </w:r>
            <w:r w:rsidR="00B970D4" w:rsidRPr="009B64C2">
              <w:rPr>
                <w:rFonts w:asciiTheme="minorHAnsi" w:eastAsia="標楷體" w:hAnsiTheme="minorHAnsi" w:cs="Times New Roman"/>
                <w:b w:val="0"/>
                <w:sz w:val="24"/>
                <w:szCs w:val="24"/>
              </w:rPr>
              <w:t>年</w:t>
            </w:r>
            <w:r w:rsidR="00B970D4" w:rsidRPr="009B64C2">
              <w:rPr>
                <w:rFonts w:asciiTheme="minorHAnsi" w:eastAsia="標楷體" w:hAnsiTheme="minorHAnsi" w:cs="Times New Roman"/>
                <w:b w:val="0"/>
                <w:sz w:val="24"/>
                <w:szCs w:val="24"/>
              </w:rPr>
              <w:t>7</w:t>
            </w:r>
            <w:r w:rsidR="00B970D4" w:rsidRPr="009B64C2">
              <w:rPr>
                <w:rFonts w:asciiTheme="minorHAnsi" w:eastAsia="標楷體" w:hAnsiTheme="minorHAnsi" w:cs="Times New Roman"/>
                <w:b w:val="0"/>
                <w:sz w:val="24"/>
                <w:szCs w:val="24"/>
              </w:rPr>
              <w:t>月</w:t>
            </w:r>
          </w:p>
        </w:tc>
      </w:tr>
      <w:tr w:rsidR="00211E09" w:rsidRPr="009B64C2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9B64C2" w:rsidRDefault="00211E09" w:rsidP="009424B6">
            <w:pPr>
              <w:jc w:val="center"/>
              <w:rPr>
                <w:rFonts w:asciiTheme="minorHAnsi" w:eastAsia="標楷體" w:hAnsiTheme="minorHAnsi"/>
              </w:rPr>
            </w:pPr>
            <w:r w:rsidRPr="009B64C2">
              <w:rPr>
                <w:rFonts w:asciiTheme="minorHAnsi" w:eastAsia="標楷體" w:hAnsiTheme="minorHAnsi"/>
              </w:rPr>
              <w:t>藥品成分</w:t>
            </w:r>
          </w:p>
        </w:tc>
        <w:tc>
          <w:tcPr>
            <w:tcW w:w="7316" w:type="dxa"/>
          </w:tcPr>
          <w:p w:rsidR="00211E09" w:rsidRPr="009B64C2" w:rsidRDefault="00863734" w:rsidP="009B492B">
            <w:pPr>
              <w:pStyle w:val="1"/>
              <w:spacing w:before="0" w:beforeAutospacing="0" w:after="0" w:afterAutospacing="0" w:line="240" w:lineRule="atLeast"/>
              <w:rPr>
                <w:rFonts w:asciiTheme="minorHAnsi" w:eastAsia="標楷體" w:hAnsiTheme="minorHAnsi" w:cs="Times New Roman"/>
                <w:b w:val="0"/>
                <w:sz w:val="24"/>
                <w:szCs w:val="24"/>
              </w:rPr>
            </w:pPr>
            <w:r w:rsidRPr="009B64C2">
              <w:rPr>
                <w:rFonts w:asciiTheme="minorHAnsi" w:eastAsia="標楷體" w:hAnsiTheme="minorHAnsi" w:cs="Times New Roman"/>
                <w:b w:val="0"/>
                <w:sz w:val="24"/>
                <w:szCs w:val="24"/>
              </w:rPr>
              <w:t>含釓顯影劑（</w:t>
            </w:r>
            <w:r w:rsidR="00047251" w:rsidRPr="009B64C2">
              <w:rPr>
                <w:rFonts w:asciiTheme="minorHAnsi" w:eastAsia="標楷體" w:hAnsiTheme="minorHAnsi" w:cs="Times New Roman"/>
                <w:b w:val="0"/>
                <w:sz w:val="24"/>
                <w:szCs w:val="24"/>
              </w:rPr>
              <w:t>Gadolinium-containing contrast agents</w:t>
            </w:r>
            <w:r w:rsidRPr="009B64C2">
              <w:rPr>
                <w:rFonts w:asciiTheme="minorHAnsi" w:eastAsia="標楷體" w:hAnsiTheme="minorHAnsi" w:cs="Times New Roman"/>
                <w:b w:val="0"/>
                <w:sz w:val="24"/>
                <w:szCs w:val="24"/>
              </w:rPr>
              <w:t>）</w:t>
            </w:r>
          </w:p>
        </w:tc>
      </w:tr>
      <w:tr w:rsidR="00211E09" w:rsidRPr="009B64C2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9B64C2" w:rsidRDefault="00211E09" w:rsidP="009424B6">
            <w:pPr>
              <w:jc w:val="center"/>
              <w:rPr>
                <w:rFonts w:asciiTheme="minorHAnsi" w:eastAsia="標楷體" w:hAnsiTheme="minorHAnsi"/>
              </w:rPr>
            </w:pPr>
            <w:r w:rsidRPr="009B64C2">
              <w:rPr>
                <w:rFonts w:asciiTheme="minorHAnsi" w:eastAsia="標楷體" w:hAnsiTheme="minorHAnsi"/>
              </w:rPr>
              <w:t>藥品名稱</w:t>
            </w:r>
          </w:p>
          <w:p w:rsidR="00211E09" w:rsidRPr="009B64C2" w:rsidRDefault="00211E09" w:rsidP="009424B6">
            <w:pPr>
              <w:jc w:val="center"/>
              <w:rPr>
                <w:rFonts w:asciiTheme="minorHAnsi" w:eastAsia="標楷體" w:hAnsiTheme="minorHAnsi"/>
              </w:rPr>
            </w:pPr>
            <w:r w:rsidRPr="009B64C2">
              <w:rPr>
                <w:rFonts w:asciiTheme="minorHAnsi" w:eastAsia="標楷體" w:hAnsiTheme="minorHAnsi"/>
              </w:rPr>
              <w:t>及許可證字號</w:t>
            </w:r>
          </w:p>
        </w:tc>
        <w:tc>
          <w:tcPr>
            <w:tcW w:w="7316" w:type="dxa"/>
          </w:tcPr>
          <w:p w:rsidR="00BF31DF" w:rsidRPr="009B64C2" w:rsidRDefault="006A71AD" w:rsidP="00C96599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Theme="minorHAnsi" w:eastAsia="標楷體" w:hAnsiTheme="minorHAns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B64C2">
              <w:rPr>
                <w:rFonts w:asciiTheme="minorHAnsi" w:eastAsia="標楷體" w:hAnsiTheme="minorHAnsi" w:cs="Times New Roman"/>
                <w:b w:val="0"/>
                <w:bCs w:val="0"/>
                <w:color w:val="000000" w:themeColor="text1"/>
                <w:sz w:val="24"/>
                <w:szCs w:val="24"/>
              </w:rPr>
              <w:t>衛生福利部核准含</w:t>
            </w:r>
            <w:r w:rsidR="00047251" w:rsidRPr="009B64C2">
              <w:rPr>
                <w:rFonts w:asciiTheme="minorHAnsi" w:eastAsia="標楷體" w:hAnsiTheme="minorHAnsi" w:cs="Times New Roman"/>
                <w:b w:val="0"/>
                <w:sz w:val="24"/>
                <w:szCs w:val="24"/>
              </w:rPr>
              <w:t>gadolinuim</w:t>
            </w:r>
            <w:r w:rsidR="00047251" w:rsidRPr="009B64C2">
              <w:rPr>
                <w:rFonts w:asciiTheme="minorHAnsi" w:eastAsia="標楷體" w:hAnsiTheme="minorHAnsi" w:cs="Times New Roman"/>
                <w:b w:val="0"/>
                <w:sz w:val="24"/>
                <w:szCs w:val="24"/>
              </w:rPr>
              <w:t>類</w:t>
            </w:r>
            <w:r w:rsidRPr="009B64C2">
              <w:rPr>
                <w:rFonts w:asciiTheme="minorHAnsi" w:eastAsia="標楷體" w:hAnsiTheme="minorHAnsi" w:cs="Times New Roman"/>
                <w:b w:val="0"/>
                <w:sz w:val="24"/>
                <w:szCs w:val="24"/>
              </w:rPr>
              <w:t>成分</w:t>
            </w:r>
            <w:r w:rsidR="00047251" w:rsidRPr="009B64C2">
              <w:rPr>
                <w:rFonts w:asciiTheme="minorHAnsi" w:eastAsia="標楷體" w:hAnsiTheme="minorHAnsi" w:cs="Times New Roman"/>
                <w:b w:val="0"/>
                <w:sz w:val="24"/>
                <w:szCs w:val="24"/>
              </w:rPr>
              <w:t>顯影劑</w:t>
            </w:r>
            <w:r w:rsidRPr="009B64C2">
              <w:rPr>
                <w:rFonts w:asciiTheme="minorHAnsi" w:eastAsia="標楷體" w:hAnsiTheme="minorHAnsi" w:cs="Times New Roman"/>
                <w:b w:val="0"/>
                <w:bCs w:val="0"/>
                <w:color w:val="000000" w:themeColor="text1"/>
                <w:sz w:val="24"/>
                <w:szCs w:val="24"/>
              </w:rPr>
              <w:t>藥品製劑許可證共</w:t>
            </w:r>
            <w:r w:rsidR="00B70E54" w:rsidRPr="009B64C2">
              <w:rPr>
                <w:rFonts w:asciiTheme="minorHAnsi" w:eastAsia="標楷體" w:hAnsiTheme="minorHAnsi" w:cs="Times New Roman"/>
                <w:b w:val="0"/>
                <w:bCs w:val="0"/>
                <w:color w:val="000000" w:themeColor="text1"/>
                <w:sz w:val="24"/>
                <w:szCs w:val="24"/>
              </w:rPr>
              <w:t>10</w:t>
            </w:r>
            <w:r w:rsidRPr="009B64C2">
              <w:rPr>
                <w:rFonts w:asciiTheme="minorHAnsi" w:eastAsia="標楷體" w:hAnsiTheme="minorHAnsi" w:cs="Times New Roman"/>
                <w:b w:val="0"/>
                <w:bCs w:val="0"/>
                <w:color w:val="000000" w:themeColor="text1"/>
                <w:sz w:val="24"/>
                <w:szCs w:val="24"/>
              </w:rPr>
              <w:t>張。網址：</w:t>
            </w:r>
            <w:r w:rsidR="00047251" w:rsidRPr="009B64C2">
              <w:rPr>
                <w:rFonts w:asciiTheme="minorHAnsi" w:eastAsia="標楷體" w:hAnsiTheme="minorHAnsi" w:cs="Times New Roman"/>
                <w:b w:val="0"/>
                <w:bCs w:val="0"/>
                <w:color w:val="000000" w:themeColor="text1"/>
                <w:sz w:val="24"/>
                <w:szCs w:val="24"/>
              </w:rPr>
              <w:t>https://www.fda.gov.tw/MLMS/H0001.aspx</w:t>
            </w:r>
          </w:p>
        </w:tc>
      </w:tr>
      <w:tr w:rsidR="00211E09" w:rsidRPr="009B64C2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9B64C2" w:rsidRDefault="00211E09" w:rsidP="009424B6">
            <w:pPr>
              <w:jc w:val="center"/>
              <w:rPr>
                <w:rFonts w:asciiTheme="minorHAnsi" w:eastAsia="標楷體" w:hAnsiTheme="minorHAnsi"/>
              </w:rPr>
            </w:pPr>
            <w:r w:rsidRPr="009B64C2">
              <w:rPr>
                <w:rFonts w:asciiTheme="minorHAnsi" w:eastAsia="標楷體" w:hAnsiTheme="minorHAnsi"/>
                <w:color w:val="000000"/>
              </w:rPr>
              <w:t>適應症</w:t>
            </w:r>
          </w:p>
        </w:tc>
        <w:tc>
          <w:tcPr>
            <w:tcW w:w="7316" w:type="dxa"/>
          </w:tcPr>
          <w:p w:rsidR="00E855E2" w:rsidRPr="009B64C2" w:rsidRDefault="008D31E3" w:rsidP="00BF31DF">
            <w:pPr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9B64C2">
              <w:rPr>
                <w:rFonts w:asciiTheme="minorHAnsi" w:eastAsia="標楷體" w:hAnsiTheme="minorHAnsi"/>
                <w:color w:val="000000" w:themeColor="text1"/>
                <w:szCs w:val="24"/>
              </w:rPr>
              <w:t>用於核磁共振造影之顯影（詳如附件）。</w:t>
            </w:r>
          </w:p>
        </w:tc>
      </w:tr>
      <w:tr w:rsidR="00211E09" w:rsidRPr="009B64C2" w:rsidTr="00CB2324">
        <w:trPr>
          <w:jc w:val="center"/>
        </w:trPr>
        <w:tc>
          <w:tcPr>
            <w:tcW w:w="2413" w:type="dxa"/>
            <w:vAlign w:val="center"/>
          </w:tcPr>
          <w:p w:rsidR="00211E09" w:rsidRPr="009B64C2" w:rsidRDefault="00211E09" w:rsidP="009424B6">
            <w:pPr>
              <w:jc w:val="center"/>
              <w:rPr>
                <w:rFonts w:asciiTheme="minorHAnsi" w:eastAsia="標楷體" w:hAnsiTheme="minorHAnsi"/>
              </w:rPr>
            </w:pPr>
            <w:r w:rsidRPr="009B64C2">
              <w:rPr>
                <w:rFonts w:asciiTheme="minorHAnsi" w:eastAsia="標楷體" w:hAnsiTheme="minorHAnsi"/>
              </w:rPr>
              <w:t>藥理作用機轉</w:t>
            </w:r>
          </w:p>
        </w:tc>
        <w:tc>
          <w:tcPr>
            <w:tcW w:w="7316" w:type="dxa"/>
          </w:tcPr>
          <w:p w:rsidR="00C870E0" w:rsidRPr="009B64C2" w:rsidRDefault="008D31E3" w:rsidP="00BE65D7">
            <w:pPr>
              <w:autoSpaceDE w:val="0"/>
              <w:autoSpaceDN w:val="0"/>
              <w:adjustRightInd w:val="0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9B64C2">
              <w:rPr>
                <w:rFonts w:asciiTheme="minorHAnsi" w:eastAsia="標楷體" w:hAnsiTheme="minorHAnsi"/>
                <w:color w:val="000000" w:themeColor="text1"/>
                <w:szCs w:val="24"/>
              </w:rPr>
              <w:t>具順磁性而增強磁振造影的對比。</w:t>
            </w:r>
          </w:p>
        </w:tc>
      </w:tr>
      <w:tr w:rsidR="00211E09" w:rsidRPr="009B64C2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:rsidR="00211E09" w:rsidRPr="009B64C2" w:rsidRDefault="00211E09" w:rsidP="009424B6">
            <w:pPr>
              <w:jc w:val="center"/>
              <w:rPr>
                <w:rFonts w:asciiTheme="minorHAnsi" w:eastAsia="標楷體" w:hAnsiTheme="minorHAnsi"/>
                <w:color w:val="000000"/>
              </w:rPr>
            </w:pPr>
            <w:r w:rsidRPr="009B64C2">
              <w:rPr>
                <w:rFonts w:asciiTheme="minorHAnsi" w:eastAsia="標楷體" w:hAnsiTheme="minorHAnsi"/>
                <w:color w:val="000000"/>
              </w:rPr>
              <w:t>訊息緣由</w:t>
            </w:r>
          </w:p>
        </w:tc>
        <w:tc>
          <w:tcPr>
            <w:tcW w:w="7316" w:type="dxa"/>
          </w:tcPr>
          <w:p w:rsidR="00EB5E0A" w:rsidRPr="009B64C2" w:rsidRDefault="00EB5E0A" w:rsidP="00F806E9">
            <w:pPr>
              <w:ind w:left="17" w:firstLineChars="7" w:firstLine="17"/>
              <w:rPr>
                <w:rFonts w:asciiTheme="minorHAnsi" w:eastAsia="標楷體" w:hAnsiTheme="minorHAnsi"/>
                <w:color w:val="000000" w:themeColor="text1"/>
              </w:rPr>
            </w:pPr>
            <w:r w:rsidRPr="009B64C2">
              <w:rPr>
                <w:rFonts w:asciiTheme="minorHAnsi" w:eastAsia="標楷體" w:hAnsiTheme="minorHAnsi"/>
                <w:color w:val="000000" w:themeColor="text1"/>
                <w:szCs w:val="24"/>
              </w:rPr>
              <w:t>2017/07/21</w:t>
            </w:r>
            <w:r w:rsidRPr="009B64C2">
              <w:rPr>
                <w:rFonts w:asciiTheme="minorHAnsi" w:eastAsia="標楷體" w:hAnsiTheme="minorHAnsi"/>
                <w:color w:val="000000" w:themeColor="text1"/>
              </w:rPr>
              <w:t>歐盟</w:t>
            </w:r>
            <w:r w:rsidRPr="009B64C2">
              <w:rPr>
                <w:rFonts w:asciiTheme="minorHAnsi" w:eastAsia="標楷體" w:hAnsiTheme="minorHAnsi"/>
                <w:color w:val="000000" w:themeColor="text1"/>
              </w:rPr>
              <w:t>EMA</w:t>
            </w:r>
            <w:r w:rsidR="009A4577" w:rsidRPr="009B64C2">
              <w:rPr>
                <w:rFonts w:asciiTheme="minorHAnsi" w:eastAsia="標楷體" w:hAnsiTheme="minorHAnsi"/>
                <w:color w:val="000000" w:themeColor="text1"/>
              </w:rPr>
              <w:t>人類用藥品委員會</w:t>
            </w:r>
            <w:r w:rsidR="009A4577" w:rsidRPr="009B64C2">
              <w:rPr>
                <w:rFonts w:asciiTheme="minorHAnsi" w:eastAsia="標楷體" w:hAnsiTheme="minorHAnsi"/>
                <w:color w:val="000000" w:themeColor="text1"/>
              </w:rPr>
              <w:t>(CHMP)</w:t>
            </w:r>
            <w:r w:rsidR="00E01BDE" w:rsidRPr="009B64C2">
              <w:rPr>
                <w:rFonts w:asciiTheme="minorHAnsi" w:eastAsia="標楷體" w:hAnsiTheme="minorHAnsi"/>
                <w:color w:val="000000" w:themeColor="text1"/>
                <w:szCs w:val="24"/>
              </w:rPr>
              <w:t>發布</w:t>
            </w:r>
            <w:r w:rsidR="00E01BDE">
              <w:rPr>
                <w:rFonts w:asciiTheme="minorHAnsi" w:eastAsia="標楷體" w:hAnsiTheme="minorHAnsi" w:hint="eastAsia"/>
                <w:color w:val="000000" w:themeColor="text1"/>
                <w:szCs w:val="24"/>
              </w:rPr>
              <w:t>因</w:t>
            </w:r>
            <w:r w:rsidR="00E01BDE" w:rsidRPr="009B64C2">
              <w:rPr>
                <w:rFonts w:asciiTheme="minorHAnsi" w:eastAsia="標楷體" w:hAnsiTheme="minorHAnsi"/>
                <w:color w:val="000000" w:themeColor="text1"/>
                <w:szCs w:val="24"/>
              </w:rPr>
              <w:t>有證據顯示使用</w:t>
            </w:r>
            <w:r w:rsidR="006D00E2" w:rsidRPr="009B64C2">
              <w:rPr>
                <w:rFonts w:asciiTheme="minorHAnsi" w:eastAsia="標楷體" w:hAnsiTheme="minorHAnsi"/>
                <w:color w:val="000000" w:themeColor="text1"/>
                <w:szCs w:val="24"/>
              </w:rPr>
              <w:t>含</w:t>
            </w:r>
            <w:r w:rsidR="006D00E2" w:rsidRPr="009B64C2">
              <w:rPr>
                <w:rFonts w:asciiTheme="minorHAnsi" w:eastAsia="標楷體" w:hAnsiTheme="minorHAnsi"/>
                <w:color w:val="000000" w:themeColor="text1"/>
                <w:szCs w:val="24"/>
              </w:rPr>
              <w:t>gadolinium</w:t>
            </w:r>
            <w:r w:rsidR="006D00E2" w:rsidRPr="009B64C2">
              <w:rPr>
                <w:rFonts w:asciiTheme="minorHAnsi" w:eastAsia="標楷體" w:hAnsiTheme="minorHAnsi"/>
                <w:color w:val="000000" w:themeColor="text1"/>
                <w:szCs w:val="24"/>
              </w:rPr>
              <w:t>類成分顯影劑</w:t>
            </w:r>
            <w:r w:rsidR="00E01BDE" w:rsidRPr="009B64C2">
              <w:rPr>
                <w:rFonts w:asciiTheme="minorHAnsi" w:eastAsia="標楷體" w:hAnsiTheme="minorHAnsi"/>
                <w:color w:val="000000" w:themeColor="text1"/>
                <w:szCs w:val="24"/>
              </w:rPr>
              <w:t>後</w:t>
            </w:r>
            <w:r w:rsidR="009A4577">
              <w:rPr>
                <w:rFonts w:asciiTheme="minorHAnsi" w:eastAsia="標楷體" w:hAnsiTheme="minorHAnsi" w:hint="eastAsia"/>
                <w:color w:val="000000" w:themeColor="text1"/>
                <w:szCs w:val="24"/>
              </w:rPr>
              <w:t>，</w:t>
            </w:r>
            <w:r w:rsidR="00E01BDE" w:rsidRPr="009B64C2">
              <w:rPr>
                <w:rFonts w:asciiTheme="minorHAnsi" w:eastAsia="標楷體" w:hAnsiTheme="minorHAnsi"/>
                <w:color w:val="000000" w:themeColor="text1"/>
                <w:szCs w:val="24"/>
              </w:rPr>
              <w:t>gadolinium</w:t>
            </w:r>
            <w:r w:rsidR="00E01BDE" w:rsidRPr="009B64C2">
              <w:rPr>
                <w:rFonts w:asciiTheme="minorHAnsi" w:eastAsia="標楷體" w:hAnsiTheme="minorHAnsi"/>
                <w:color w:val="000000" w:themeColor="text1"/>
                <w:szCs w:val="24"/>
              </w:rPr>
              <w:t>會蓄積於腦部</w:t>
            </w:r>
            <w:r w:rsidR="006D00E2">
              <w:rPr>
                <w:rFonts w:asciiTheme="minorHAnsi" w:eastAsia="標楷體" w:hAnsiTheme="minorHAnsi" w:hint="eastAsia"/>
                <w:color w:val="000000" w:themeColor="text1"/>
                <w:szCs w:val="24"/>
              </w:rPr>
              <w:t>，</w:t>
            </w:r>
            <w:r w:rsidR="006D00E2" w:rsidRPr="009B64C2">
              <w:rPr>
                <w:rFonts w:asciiTheme="minorHAnsi" w:eastAsia="標楷體" w:hAnsiTheme="minorHAnsi"/>
                <w:color w:val="000000" w:themeColor="text1"/>
                <w:szCs w:val="24"/>
              </w:rPr>
              <w:t>雖不知其臨床上可能造成的後果</w:t>
            </w:r>
            <w:r w:rsidR="006D00E2">
              <w:rPr>
                <w:rFonts w:asciiTheme="minorHAnsi" w:eastAsia="標楷體" w:hAnsiTheme="minorHAnsi" w:hint="eastAsia"/>
                <w:color w:val="000000" w:themeColor="text1"/>
                <w:szCs w:val="24"/>
              </w:rPr>
              <w:t>，</w:t>
            </w:r>
            <w:r w:rsidR="006D00E2">
              <w:rPr>
                <w:rFonts w:asciiTheme="minorHAnsi" w:eastAsia="標楷體" w:hAnsiTheme="minorHAnsi" w:hint="eastAsia"/>
                <w:color w:val="000000" w:themeColor="text1"/>
              </w:rPr>
              <w:t>仍</w:t>
            </w:r>
            <w:r w:rsidRPr="009B64C2">
              <w:rPr>
                <w:rFonts w:asciiTheme="minorHAnsi" w:eastAsia="標楷體" w:hAnsiTheme="minorHAnsi"/>
                <w:color w:val="000000" w:themeColor="text1"/>
              </w:rPr>
              <w:t>決議將限縮部分含線性結構</w:t>
            </w:r>
            <w:r w:rsidRPr="009B64C2">
              <w:rPr>
                <w:rFonts w:asciiTheme="minorHAnsi" w:eastAsia="標楷體" w:hAnsiTheme="minorHAnsi"/>
                <w:color w:val="000000" w:themeColor="text1"/>
              </w:rPr>
              <w:t>gadolinium</w:t>
            </w:r>
            <w:r w:rsidRPr="009B64C2">
              <w:rPr>
                <w:rFonts w:asciiTheme="minorHAnsi" w:eastAsia="標楷體" w:hAnsiTheme="minorHAnsi"/>
                <w:color w:val="000000" w:themeColor="text1"/>
              </w:rPr>
              <w:t>顯影劑之使用</w:t>
            </w:r>
            <w:r w:rsidR="00F806E9" w:rsidRPr="009B64C2">
              <w:rPr>
                <w:rFonts w:asciiTheme="minorHAnsi" w:eastAsia="標楷體" w:hAnsiTheme="minorHAnsi"/>
                <w:color w:val="000000" w:themeColor="text1"/>
              </w:rPr>
              <w:t>(gadoxetic acid</w:t>
            </w:r>
            <w:r w:rsidR="00F806E9" w:rsidRPr="009B64C2">
              <w:rPr>
                <w:rFonts w:asciiTheme="minorHAnsi" w:eastAsia="標楷體" w:hAnsiTheme="minorHAnsi"/>
                <w:color w:val="000000" w:themeColor="text1"/>
              </w:rPr>
              <w:t>、</w:t>
            </w:r>
            <w:r w:rsidR="00F806E9" w:rsidRPr="009B64C2">
              <w:rPr>
                <w:rFonts w:asciiTheme="minorHAnsi" w:eastAsia="標楷體" w:hAnsiTheme="minorHAnsi"/>
                <w:color w:val="000000" w:themeColor="text1"/>
              </w:rPr>
              <w:t>gadobenic acid</w:t>
            </w:r>
            <w:r w:rsidR="00F806E9" w:rsidRPr="009B64C2">
              <w:rPr>
                <w:rFonts w:asciiTheme="minorHAnsi" w:eastAsia="標楷體" w:hAnsiTheme="minorHAnsi"/>
                <w:color w:val="000000" w:themeColor="text1"/>
              </w:rPr>
              <w:t>、</w:t>
            </w:r>
            <w:r w:rsidR="00F806E9" w:rsidRPr="009B64C2">
              <w:rPr>
                <w:rFonts w:asciiTheme="minorHAnsi" w:eastAsia="標楷體" w:hAnsiTheme="minorHAnsi"/>
                <w:color w:val="000000" w:themeColor="text1"/>
              </w:rPr>
              <w:t>gadopentetic acid)</w:t>
            </w:r>
            <w:r w:rsidRPr="009B64C2">
              <w:rPr>
                <w:rFonts w:asciiTheme="minorHAnsi" w:eastAsia="標楷體" w:hAnsiTheme="minorHAnsi"/>
                <w:color w:val="000000" w:themeColor="text1"/>
              </w:rPr>
              <w:t>，</w:t>
            </w:r>
            <w:r w:rsidR="00F806E9" w:rsidRPr="009B64C2">
              <w:rPr>
                <w:rFonts w:asciiTheme="minorHAnsi" w:eastAsia="標楷體" w:hAnsiTheme="minorHAnsi"/>
                <w:color w:val="000000" w:themeColor="text1"/>
              </w:rPr>
              <w:t>並暫停其餘含線性結構</w:t>
            </w:r>
            <w:r w:rsidR="00F806E9" w:rsidRPr="009B64C2">
              <w:rPr>
                <w:rFonts w:asciiTheme="minorHAnsi" w:eastAsia="標楷體" w:hAnsiTheme="minorHAnsi"/>
                <w:color w:val="000000" w:themeColor="text1"/>
              </w:rPr>
              <w:t>gadolinium</w:t>
            </w:r>
            <w:r w:rsidR="00F806E9" w:rsidRPr="009B64C2">
              <w:rPr>
                <w:rFonts w:asciiTheme="minorHAnsi" w:eastAsia="標楷體" w:hAnsiTheme="minorHAnsi"/>
                <w:color w:val="000000" w:themeColor="text1"/>
              </w:rPr>
              <w:t>顯影劑之銷售。</w:t>
            </w:r>
          </w:p>
          <w:p w:rsidR="00EB5E0A" w:rsidRPr="009B64C2" w:rsidRDefault="00EB5E0A" w:rsidP="00B65E68">
            <w:pPr>
              <w:ind w:left="17" w:firstLineChars="7" w:firstLine="17"/>
              <w:rPr>
                <w:rFonts w:asciiTheme="minorHAnsi" w:eastAsia="標楷體" w:hAnsiTheme="minorHAnsi"/>
                <w:color w:val="000000" w:themeColor="text1"/>
              </w:rPr>
            </w:pPr>
            <w:r w:rsidRPr="009B64C2">
              <w:rPr>
                <w:rFonts w:asciiTheme="minorHAnsi" w:eastAsia="標楷體" w:hAnsiTheme="minorHAnsi"/>
                <w:color w:val="000000" w:themeColor="text1"/>
                <w:szCs w:val="24"/>
              </w:rPr>
              <w:t>網址：</w:t>
            </w:r>
          </w:p>
          <w:p w:rsidR="00EB5E0A" w:rsidRPr="009B64C2" w:rsidRDefault="00802984" w:rsidP="00B65E68">
            <w:pPr>
              <w:ind w:left="17" w:firstLineChars="7" w:firstLine="17"/>
              <w:rPr>
                <w:rFonts w:asciiTheme="minorHAnsi" w:eastAsia="標楷體" w:hAnsiTheme="minorHAnsi"/>
                <w:kern w:val="0"/>
              </w:rPr>
            </w:pPr>
            <w:hyperlink r:id="rId7" w:history="1">
              <w:r w:rsidR="00EB5E0A" w:rsidRPr="009B64C2">
                <w:rPr>
                  <w:rStyle w:val="ab"/>
                  <w:rFonts w:asciiTheme="minorHAnsi" w:eastAsia="標楷體" w:hAnsiTheme="minorHAnsi"/>
                  <w:kern w:val="0"/>
                </w:rPr>
                <w:t>http://www.ema.europa.eu/ema/index.jsp?curl=pages/news_and_events/news/2017/07/news_detail_002780.jsp&amp;mid=WC0b01ac058004d5c1</w:t>
              </w:r>
            </w:hyperlink>
          </w:p>
          <w:p w:rsidR="00EB5E0A" w:rsidRPr="009B64C2" w:rsidRDefault="00EB5E0A" w:rsidP="00EB5E0A">
            <w:pPr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</w:tc>
      </w:tr>
      <w:tr w:rsidR="00C10AA8" w:rsidRPr="009B64C2" w:rsidTr="009B64C2">
        <w:trPr>
          <w:trHeight w:val="4243"/>
          <w:jc w:val="center"/>
        </w:trPr>
        <w:tc>
          <w:tcPr>
            <w:tcW w:w="2413" w:type="dxa"/>
            <w:vAlign w:val="center"/>
          </w:tcPr>
          <w:p w:rsidR="00C10AA8" w:rsidRPr="009B64C2" w:rsidRDefault="00C10AA8" w:rsidP="009424B6">
            <w:pPr>
              <w:jc w:val="center"/>
              <w:rPr>
                <w:rFonts w:asciiTheme="minorHAnsi" w:eastAsia="標楷體" w:hAnsiTheme="minorHAnsi"/>
              </w:rPr>
            </w:pPr>
            <w:r w:rsidRPr="009B64C2">
              <w:rPr>
                <w:rFonts w:asciiTheme="minorHAnsi" w:eastAsia="標楷體" w:hAnsiTheme="minorHAnsi"/>
              </w:rPr>
              <w:t>藥品安全有關資訊分析及描述</w:t>
            </w:r>
          </w:p>
        </w:tc>
        <w:tc>
          <w:tcPr>
            <w:tcW w:w="7316" w:type="dxa"/>
          </w:tcPr>
          <w:p w:rsidR="0008320A" w:rsidRPr="0008320A" w:rsidRDefault="0008320A" w:rsidP="0008320A">
            <w:pPr>
              <w:pStyle w:val="Web"/>
              <w:numPr>
                <w:ilvl w:val="0"/>
                <w:numId w:val="43"/>
              </w:numPr>
              <w:spacing w:before="0" w:beforeAutospacing="0" w:after="0" w:afterAutospacing="0" w:line="400" w:lineRule="exact"/>
              <w:rPr>
                <w:rFonts w:asciiTheme="minorHAnsi" w:eastAsia="標楷體" w:hAnsiTheme="minorHAnsi" w:cs="Times New Roman"/>
                <w:bCs/>
                <w:color w:val="000000"/>
              </w:rPr>
            </w:pPr>
            <w:r>
              <w:rPr>
                <w:rFonts w:asciiTheme="minorHAnsi" w:eastAsia="標楷體" w:hAnsiTheme="minorHAnsi" w:cs="Times New Roman" w:hint="eastAsia"/>
                <w:bCs/>
                <w:color w:val="000000"/>
              </w:rPr>
              <w:t>有證據顯示使用含</w:t>
            </w:r>
            <w:r>
              <w:rPr>
                <w:rFonts w:asciiTheme="minorHAnsi" w:eastAsia="標楷體" w:hAnsiTheme="minorHAnsi" w:cs="Times New Roman" w:hint="eastAsia"/>
                <w:bCs/>
                <w:color w:val="000000"/>
              </w:rPr>
              <w:t>gadolinium</w:t>
            </w:r>
            <w:r w:rsidRPr="009B64C2">
              <w:rPr>
                <w:rFonts w:asciiTheme="minorHAnsi" w:eastAsia="標楷體" w:hAnsiTheme="minorHAnsi"/>
                <w:color w:val="000000" w:themeColor="text1"/>
              </w:rPr>
              <w:t>類成分顯影劑後</w:t>
            </w:r>
            <w:r>
              <w:rPr>
                <w:rFonts w:asciiTheme="minorHAnsi" w:eastAsia="標楷體" w:hAnsiTheme="minorHAnsi" w:hint="eastAsia"/>
                <w:color w:val="000000" w:themeColor="text1"/>
              </w:rPr>
              <w:t>，</w:t>
            </w:r>
            <w:r w:rsidRPr="009B64C2">
              <w:rPr>
                <w:rFonts w:asciiTheme="minorHAnsi" w:eastAsia="標楷體" w:hAnsiTheme="minorHAnsi"/>
                <w:color w:val="000000" w:themeColor="text1"/>
              </w:rPr>
              <w:t>gadolinium</w:t>
            </w:r>
            <w:r w:rsidRPr="009B64C2">
              <w:rPr>
                <w:rFonts w:asciiTheme="minorHAnsi" w:eastAsia="標楷體" w:hAnsiTheme="minorHAnsi"/>
                <w:color w:val="000000" w:themeColor="text1"/>
              </w:rPr>
              <w:t>會蓄積於腦部</w:t>
            </w:r>
            <w:r>
              <w:rPr>
                <w:rFonts w:asciiTheme="minorHAnsi" w:eastAsia="標楷體" w:hAnsiTheme="minorHAnsi" w:hint="eastAsia"/>
                <w:color w:val="000000" w:themeColor="text1"/>
              </w:rPr>
              <w:t>，惟目前尚不知可能造成的後果。</w:t>
            </w:r>
          </w:p>
          <w:p w:rsidR="008D3ECD" w:rsidRPr="007F741F" w:rsidRDefault="004E268E" w:rsidP="007F741F">
            <w:pPr>
              <w:pStyle w:val="Web"/>
              <w:numPr>
                <w:ilvl w:val="0"/>
                <w:numId w:val="43"/>
              </w:numPr>
              <w:spacing w:before="0" w:beforeAutospacing="0" w:after="0" w:afterAutospacing="0" w:line="400" w:lineRule="exact"/>
              <w:rPr>
                <w:rFonts w:asciiTheme="minorHAnsi" w:eastAsia="標楷體" w:hAnsiTheme="minorHAnsi" w:cs="Times New Roman"/>
                <w:bCs/>
                <w:color w:val="000000"/>
              </w:rPr>
            </w:pPr>
            <w:r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歐盟</w:t>
            </w:r>
            <w:r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EMA</w:t>
            </w:r>
            <w:r w:rsidR="0017385B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 xml:space="preserve"> CHMP</w:t>
            </w:r>
            <w:r w:rsidR="0008320A">
              <w:rPr>
                <w:rFonts w:asciiTheme="minorHAnsi" w:eastAsia="標楷體" w:hAnsiTheme="minorHAnsi" w:cs="Times New Roman" w:hint="eastAsia"/>
                <w:bCs/>
                <w:color w:val="000000"/>
              </w:rPr>
              <w:t>經評估後，</w:t>
            </w:r>
            <w:r w:rsidR="0017385B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決議</w:t>
            </w:r>
            <w:r w:rsidR="007F741F" w:rsidRPr="009B64C2">
              <w:rPr>
                <w:rFonts w:asciiTheme="minorHAnsi" w:eastAsia="標楷體" w:hAnsiTheme="minorHAnsi"/>
                <w:color w:val="000000" w:themeColor="text1"/>
              </w:rPr>
              <w:t>限縮</w:t>
            </w:r>
            <w:r w:rsidR="0008320A">
              <w:rPr>
                <w:rFonts w:asciiTheme="minorHAnsi" w:eastAsia="標楷體" w:hAnsiTheme="minorHAnsi" w:hint="eastAsia"/>
                <w:color w:val="000000" w:themeColor="text1"/>
              </w:rPr>
              <w:t>該類藥品之使用</w:t>
            </w:r>
            <w:r w:rsidR="008D3ECD" w:rsidRPr="007F741F">
              <w:rPr>
                <w:rFonts w:asciiTheme="minorHAnsi" w:eastAsia="標楷體" w:hAnsiTheme="minorHAnsi" w:cs="Times New Roman" w:hint="eastAsia"/>
                <w:bCs/>
                <w:color w:val="000000"/>
              </w:rPr>
              <w:t>如下：</w:t>
            </w:r>
          </w:p>
          <w:p w:rsidR="008D3ECD" w:rsidRDefault="008D3ECD" w:rsidP="0008320A">
            <w:pPr>
              <w:pStyle w:val="Web"/>
              <w:numPr>
                <w:ilvl w:val="0"/>
                <w:numId w:val="45"/>
              </w:numPr>
              <w:spacing w:before="0" w:beforeAutospacing="0" w:after="0" w:afterAutospacing="0" w:line="400" w:lineRule="exact"/>
              <w:rPr>
                <w:rFonts w:asciiTheme="minorHAnsi" w:eastAsia="標楷體" w:hAnsiTheme="minorHAnsi" w:cs="Times New Roman"/>
                <w:color w:val="000000" w:themeColor="text1"/>
              </w:rPr>
            </w:pPr>
            <w:r>
              <w:rPr>
                <w:rFonts w:asciiTheme="minorHAnsi" w:eastAsia="標楷體" w:hAnsiTheme="minorHAnsi" w:cs="Times New Roman" w:hint="eastAsia"/>
                <w:color w:val="000000" w:themeColor="text1"/>
              </w:rPr>
              <w:t>線性結構</w:t>
            </w:r>
            <w:r>
              <w:rPr>
                <w:rFonts w:asciiTheme="minorHAnsi" w:eastAsia="標楷體" w:hAnsiTheme="minorHAnsi" w:cs="Times New Roman" w:hint="eastAsia"/>
                <w:color w:val="000000" w:themeColor="text1"/>
              </w:rPr>
              <w:t>gadolinium</w:t>
            </w:r>
            <w:r>
              <w:rPr>
                <w:rFonts w:asciiTheme="minorHAnsi" w:eastAsia="標楷體" w:hAnsiTheme="minorHAnsi" w:cs="Times New Roman" w:hint="eastAsia"/>
                <w:color w:val="000000" w:themeColor="text1"/>
              </w:rPr>
              <w:t>顯影劑</w:t>
            </w:r>
            <w:r w:rsidR="0008320A">
              <w:rPr>
                <w:rFonts w:asciiTheme="minorHAnsi" w:eastAsia="標楷體" w:hAnsiTheme="minorHAnsi" w:cs="Times New Roman" w:hint="eastAsia"/>
                <w:color w:val="000000" w:themeColor="text1"/>
              </w:rPr>
              <w:t>，如</w:t>
            </w:r>
            <w:r>
              <w:rPr>
                <w:rFonts w:asciiTheme="minorHAnsi" w:eastAsia="標楷體" w:hAnsiTheme="minorHAnsi" w:cs="Times New Roman" w:hint="eastAsia"/>
                <w:color w:val="000000" w:themeColor="text1"/>
              </w:rPr>
              <w:t>gadoxetic</w:t>
            </w:r>
            <w:r w:rsidR="0017385B" w:rsidRPr="009B64C2">
              <w:rPr>
                <w:rFonts w:asciiTheme="minorHAnsi" w:eastAsia="標楷體" w:hAnsiTheme="minorHAnsi" w:cs="Times New Roman"/>
                <w:color w:val="000000" w:themeColor="text1"/>
              </w:rPr>
              <w:t xml:space="preserve"> acid</w:t>
            </w:r>
            <w:r w:rsidR="0017385B" w:rsidRPr="009B64C2">
              <w:rPr>
                <w:rFonts w:asciiTheme="minorHAnsi" w:eastAsia="標楷體" w:hAnsiTheme="minorHAnsi" w:cs="Times New Roman"/>
                <w:color w:val="000000" w:themeColor="text1"/>
              </w:rPr>
              <w:t>與</w:t>
            </w:r>
            <w:r w:rsidR="0017385B" w:rsidRPr="009B64C2">
              <w:rPr>
                <w:rFonts w:asciiTheme="minorHAnsi" w:eastAsia="標楷體" w:hAnsiTheme="minorHAnsi" w:cs="Times New Roman"/>
                <w:color w:val="000000" w:themeColor="text1"/>
              </w:rPr>
              <w:t>gadobenic acid</w:t>
            </w:r>
            <w:r w:rsidR="0008320A">
              <w:rPr>
                <w:rFonts w:asciiTheme="minorHAnsi" w:eastAsia="標楷體" w:hAnsiTheme="minorHAnsi" w:cs="Times New Roman" w:hint="eastAsia"/>
                <w:color w:val="000000" w:themeColor="text1"/>
              </w:rPr>
              <w:t>，靜脈注射</w:t>
            </w:r>
            <w:r w:rsidR="0017385B" w:rsidRPr="009B64C2">
              <w:rPr>
                <w:rFonts w:asciiTheme="minorHAnsi" w:eastAsia="標楷體" w:hAnsiTheme="minorHAnsi" w:cs="Times New Roman"/>
                <w:color w:val="000000" w:themeColor="text1"/>
              </w:rPr>
              <w:t>可繼續</w:t>
            </w:r>
            <w:r w:rsidR="0008320A">
              <w:rPr>
                <w:rFonts w:asciiTheme="minorHAnsi" w:eastAsia="標楷體" w:hAnsiTheme="minorHAnsi" w:cs="Times New Roman" w:hint="eastAsia"/>
                <w:color w:val="000000" w:themeColor="text1"/>
              </w:rPr>
              <w:t>此用於</w:t>
            </w:r>
            <w:r w:rsidR="0017385B" w:rsidRPr="009B64C2">
              <w:rPr>
                <w:rFonts w:asciiTheme="minorHAnsi" w:eastAsia="標楷體" w:hAnsiTheme="minorHAnsi" w:cs="Times New Roman"/>
                <w:color w:val="000000" w:themeColor="text1"/>
              </w:rPr>
              <w:t>肝臟造影；</w:t>
            </w:r>
            <w:r w:rsidR="0017385B" w:rsidRPr="009B64C2">
              <w:rPr>
                <w:rFonts w:asciiTheme="minorHAnsi" w:eastAsia="標楷體" w:hAnsiTheme="minorHAnsi" w:cs="Times New Roman"/>
                <w:color w:val="000000" w:themeColor="text1"/>
              </w:rPr>
              <w:t>gadopentetic acid</w:t>
            </w:r>
            <w:r w:rsidR="0017385B" w:rsidRPr="009B64C2">
              <w:rPr>
                <w:rFonts w:asciiTheme="minorHAnsi" w:eastAsia="標楷體" w:hAnsiTheme="minorHAnsi" w:cs="Times New Roman"/>
                <w:color w:val="000000" w:themeColor="text1"/>
              </w:rPr>
              <w:t>則僅能</w:t>
            </w:r>
            <w:r w:rsidR="002462E9" w:rsidRPr="009B64C2">
              <w:rPr>
                <w:rFonts w:asciiTheme="minorHAnsi" w:eastAsia="標楷體" w:hAnsiTheme="minorHAnsi" w:cs="Times New Roman"/>
                <w:color w:val="000000" w:themeColor="text1"/>
              </w:rPr>
              <w:t>以關節內注射方式</w:t>
            </w:r>
            <w:r w:rsidR="0017385B" w:rsidRPr="009B64C2">
              <w:rPr>
                <w:rFonts w:asciiTheme="minorHAnsi" w:eastAsia="標楷體" w:hAnsiTheme="minorHAnsi" w:cs="Times New Roman"/>
                <w:color w:val="000000" w:themeColor="text1"/>
              </w:rPr>
              <w:t>用於關節造影。</w:t>
            </w:r>
          </w:p>
          <w:p w:rsidR="008D3ECD" w:rsidRDefault="0017385B" w:rsidP="0008320A">
            <w:pPr>
              <w:pStyle w:val="Web"/>
              <w:numPr>
                <w:ilvl w:val="0"/>
                <w:numId w:val="45"/>
              </w:numPr>
              <w:spacing w:before="0" w:beforeAutospacing="0" w:after="0" w:afterAutospacing="0" w:line="400" w:lineRule="exact"/>
              <w:rPr>
                <w:rFonts w:asciiTheme="minorHAnsi" w:eastAsia="標楷體" w:hAnsiTheme="minorHAnsi" w:cs="Times New Roman"/>
                <w:color w:val="000000" w:themeColor="text1"/>
              </w:rPr>
            </w:pPr>
            <w:r w:rsidRPr="009B64C2">
              <w:rPr>
                <w:rFonts w:asciiTheme="minorHAnsi" w:eastAsia="標楷體" w:hAnsiTheme="minorHAnsi"/>
                <w:color w:val="000000" w:themeColor="text1"/>
              </w:rPr>
              <w:t>其餘</w:t>
            </w:r>
            <w:r w:rsidR="0008320A">
              <w:rPr>
                <w:rFonts w:asciiTheme="minorHAnsi" w:eastAsia="標楷體" w:hAnsiTheme="minorHAnsi" w:cs="Times New Roman"/>
                <w:color w:val="000000" w:themeColor="text1"/>
              </w:rPr>
              <w:t>靜脈注射之</w:t>
            </w:r>
            <w:r w:rsidRPr="009B64C2">
              <w:rPr>
                <w:rFonts w:asciiTheme="minorHAnsi" w:eastAsia="標楷體" w:hAnsiTheme="minorHAnsi" w:cs="Times New Roman"/>
                <w:color w:val="000000" w:themeColor="text1"/>
              </w:rPr>
              <w:t>線性結構</w:t>
            </w:r>
            <w:r w:rsidRPr="009B64C2">
              <w:rPr>
                <w:rFonts w:asciiTheme="minorHAnsi" w:eastAsia="標楷體" w:hAnsiTheme="minorHAnsi" w:cs="Times New Roman"/>
                <w:color w:val="000000" w:themeColor="text1"/>
              </w:rPr>
              <w:t>gadolinium</w:t>
            </w:r>
            <w:r w:rsidRPr="009B64C2">
              <w:rPr>
                <w:rFonts w:asciiTheme="minorHAnsi" w:eastAsia="標楷體" w:hAnsiTheme="minorHAnsi" w:cs="Times New Roman"/>
                <w:color w:val="000000" w:themeColor="text1"/>
              </w:rPr>
              <w:t>顯影劑</w:t>
            </w:r>
            <w:r w:rsidR="0008320A">
              <w:rPr>
                <w:rFonts w:asciiTheme="minorHAnsi" w:eastAsia="標楷體" w:hAnsiTheme="minorHAnsi" w:cs="Times New Roman" w:hint="eastAsia"/>
                <w:color w:val="000000" w:themeColor="text1"/>
              </w:rPr>
              <w:t>，</w:t>
            </w:r>
            <w:r w:rsidR="00B37795">
              <w:rPr>
                <w:rFonts w:asciiTheme="minorHAnsi" w:eastAsia="標楷體" w:hAnsiTheme="minorHAnsi" w:cs="Times New Roman" w:hint="eastAsia"/>
                <w:color w:val="000000" w:themeColor="text1"/>
              </w:rPr>
              <w:t>如</w:t>
            </w:r>
            <w:r w:rsidRPr="009B64C2">
              <w:rPr>
                <w:rFonts w:asciiTheme="minorHAnsi" w:eastAsia="標楷體" w:hAnsiTheme="minorHAnsi" w:cs="Times New Roman"/>
                <w:color w:val="000000" w:themeColor="text1"/>
              </w:rPr>
              <w:t>gadodiamide</w:t>
            </w:r>
            <w:r w:rsidRPr="009B64C2">
              <w:rPr>
                <w:rFonts w:asciiTheme="minorHAnsi" w:eastAsia="標楷體" w:hAnsiTheme="minorHAnsi" w:cs="Times New Roman"/>
                <w:color w:val="000000" w:themeColor="text1"/>
              </w:rPr>
              <w:t>、</w:t>
            </w:r>
            <w:r w:rsidRPr="009B64C2">
              <w:rPr>
                <w:rFonts w:asciiTheme="minorHAnsi" w:eastAsia="標楷體" w:hAnsiTheme="minorHAnsi" w:cs="Times New Roman"/>
                <w:color w:val="000000" w:themeColor="text1"/>
              </w:rPr>
              <w:t>gadopentetic acid</w:t>
            </w:r>
            <w:r w:rsidRPr="009B64C2">
              <w:rPr>
                <w:rFonts w:asciiTheme="minorHAnsi" w:eastAsia="標楷體" w:hAnsiTheme="minorHAnsi" w:cs="Times New Roman"/>
                <w:color w:val="000000" w:themeColor="text1"/>
              </w:rPr>
              <w:t>、</w:t>
            </w:r>
            <w:r w:rsidRPr="009B64C2">
              <w:rPr>
                <w:rFonts w:asciiTheme="minorHAnsi" w:eastAsia="標楷體" w:hAnsiTheme="minorHAnsi" w:cs="Times New Roman"/>
                <w:color w:val="000000" w:themeColor="text1"/>
              </w:rPr>
              <w:t>gadoversetamide</w:t>
            </w:r>
            <w:r w:rsidR="00B37795">
              <w:rPr>
                <w:rFonts w:asciiTheme="minorHAnsi" w:eastAsia="標楷體" w:hAnsiTheme="minorHAnsi" w:cs="Times New Roman" w:hint="eastAsia"/>
                <w:color w:val="000000" w:themeColor="text1"/>
              </w:rPr>
              <w:t>等</w:t>
            </w:r>
            <w:r w:rsidR="0008320A">
              <w:rPr>
                <w:rFonts w:asciiTheme="minorHAnsi" w:eastAsia="標楷體" w:hAnsiTheme="minorHAnsi" w:cs="Times New Roman" w:hint="eastAsia"/>
                <w:color w:val="000000" w:themeColor="text1"/>
              </w:rPr>
              <w:t>，</w:t>
            </w:r>
            <w:r w:rsidRPr="009B64C2">
              <w:rPr>
                <w:rFonts w:asciiTheme="minorHAnsi" w:eastAsia="標楷體" w:hAnsiTheme="minorHAnsi" w:cs="Times New Roman"/>
                <w:color w:val="000000" w:themeColor="text1"/>
              </w:rPr>
              <w:t>則暫停銷售。</w:t>
            </w:r>
          </w:p>
          <w:p w:rsidR="00F3622B" w:rsidRDefault="00CF5892" w:rsidP="0008320A">
            <w:pPr>
              <w:pStyle w:val="Web"/>
              <w:numPr>
                <w:ilvl w:val="0"/>
                <w:numId w:val="45"/>
              </w:numPr>
              <w:spacing w:before="0" w:beforeAutospacing="0" w:after="0" w:afterAutospacing="0" w:line="400" w:lineRule="exact"/>
              <w:rPr>
                <w:rFonts w:asciiTheme="minorHAnsi" w:eastAsia="標楷體" w:hAnsiTheme="minorHAnsi" w:cs="Times New Roman"/>
                <w:bCs/>
                <w:color w:val="000000"/>
              </w:rPr>
            </w:pPr>
            <w:r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巨環（</w:t>
            </w:r>
            <w:r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macrocyclic</w:t>
            </w:r>
            <w:r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）結構</w:t>
            </w:r>
            <w:r w:rsidR="00F15C83">
              <w:rPr>
                <w:rFonts w:asciiTheme="minorHAnsi" w:eastAsia="標楷體" w:hAnsiTheme="minorHAnsi" w:cs="Times New Roman" w:hint="eastAsia"/>
                <w:bCs/>
                <w:color w:val="000000"/>
              </w:rPr>
              <w:t>之</w:t>
            </w:r>
            <w:r w:rsidR="0008320A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gadolinium</w:t>
            </w:r>
            <w:r w:rsidR="0008320A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顯影劑</w:t>
            </w:r>
            <w:r w:rsidR="00E91426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，如</w:t>
            </w:r>
            <w:r w:rsidR="00E91426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gadobutrol</w:t>
            </w:r>
            <w:r w:rsidR="00E91426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、</w:t>
            </w:r>
            <w:r w:rsidR="00E91426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gadoteric acid</w:t>
            </w:r>
            <w:r w:rsidR="00E91426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及</w:t>
            </w:r>
            <w:r w:rsidR="00E91426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gadoteridol</w:t>
            </w:r>
            <w:r w:rsidR="00E91426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，</w:t>
            </w:r>
            <w:r w:rsidR="003B1B4C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此類型藥品較穩定</w:t>
            </w:r>
            <w:r w:rsidR="00F15C83">
              <w:rPr>
                <w:rFonts w:asciiTheme="minorHAnsi" w:eastAsia="標楷體" w:hAnsiTheme="minorHAnsi" w:cs="Times New Roman" w:hint="eastAsia"/>
                <w:bCs/>
                <w:color w:val="000000"/>
              </w:rPr>
              <w:t>，</w:t>
            </w:r>
            <w:r w:rsidR="003B1B4C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相較於線性結構者</w:t>
            </w:r>
            <w:r w:rsidR="00E91426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較不易釋放</w:t>
            </w:r>
            <w:r w:rsidR="00E91426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gadolinium</w:t>
            </w:r>
            <w:r w:rsidR="00DD5180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，</w:t>
            </w:r>
            <w:r w:rsidR="00E91426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因此可</w:t>
            </w:r>
            <w:r w:rsidR="00EB3621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以</w:t>
            </w:r>
            <w:r w:rsidR="00DD5180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維持目前之適應症在</w:t>
            </w:r>
            <w:r w:rsidR="00EB3621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最低有效</w:t>
            </w:r>
            <w:r w:rsidR="003B1B4C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之</w:t>
            </w:r>
            <w:r w:rsidR="00EB3621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顯影劑量且當非增強性</w:t>
            </w:r>
            <w:r w:rsidR="00750755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身體造</w:t>
            </w:r>
            <w:r w:rsidR="00EB3621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影</w:t>
            </w:r>
            <w:r w:rsidR="00750755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（</w:t>
            </w:r>
            <w:r w:rsidR="00750755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unenhanced body scans</w:t>
            </w:r>
            <w:r w:rsidR="00750755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）</w:t>
            </w:r>
            <w:r w:rsidR="00EB3621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不適用時</w:t>
            </w:r>
            <w:r w:rsidR="003B1B4C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使用</w:t>
            </w:r>
            <w:r w:rsidR="00A209CF" w:rsidRPr="009B64C2">
              <w:rPr>
                <w:rFonts w:asciiTheme="minorHAnsi" w:eastAsia="標楷體" w:hAnsiTheme="minorHAnsi" w:cs="Times New Roman"/>
                <w:bCs/>
                <w:color w:val="000000"/>
              </w:rPr>
              <w:t>。</w:t>
            </w:r>
          </w:p>
          <w:p w:rsidR="00B37795" w:rsidRPr="00B37795" w:rsidRDefault="00F15C83" w:rsidP="00F15C83">
            <w:pPr>
              <w:pStyle w:val="Web"/>
              <w:numPr>
                <w:ilvl w:val="0"/>
                <w:numId w:val="43"/>
              </w:numPr>
              <w:shd w:val="clear" w:color="auto" w:fill="FFFFFF"/>
              <w:spacing w:beforeAutospacing="0" w:after="0" w:afterAutospacing="0"/>
              <w:jc w:val="both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另</w:t>
            </w:r>
            <w:r w:rsidR="00B37795" w:rsidRPr="009B64C2">
              <w:rPr>
                <w:rFonts w:asciiTheme="minorHAnsi" w:eastAsia="標楷體" w:hAnsiTheme="minorHAnsi"/>
              </w:rPr>
              <w:t>查，美國</w:t>
            </w:r>
            <w:r w:rsidR="00B37795" w:rsidRPr="009B64C2">
              <w:rPr>
                <w:rFonts w:asciiTheme="minorHAnsi" w:eastAsia="標楷體" w:hAnsiTheme="minorHAnsi" w:cs="Arial"/>
              </w:rPr>
              <w:t>FDA</w:t>
            </w:r>
            <w:r w:rsidR="00B37795" w:rsidRPr="009B64C2">
              <w:rPr>
                <w:rFonts w:asciiTheme="minorHAnsi" w:eastAsia="標楷體" w:hAnsiTheme="minorHAnsi"/>
              </w:rPr>
              <w:t>於</w:t>
            </w:r>
            <w:r w:rsidR="00B37795" w:rsidRPr="009B64C2">
              <w:rPr>
                <w:rFonts w:asciiTheme="minorHAnsi" w:eastAsia="標楷體" w:hAnsiTheme="minorHAnsi" w:cs="Arial"/>
              </w:rPr>
              <w:t>106</w:t>
            </w:r>
            <w:r w:rsidR="00B37795" w:rsidRPr="009B64C2">
              <w:rPr>
                <w:rFonts w:asciiTheme="minorHAnsi" w:eastAsia="標楷體" w:hAnsiTheme="minorHAnsi"/>
              </w:rPr>
              <w:t>年</w:t>
            </w:r>
            <w:r w:rsidR="00B37795" w:rsidRPr="009B64C2">
              <w:rPr>
                <w:rFonts w:asciiTheme="minorHAnsi" w:eastAsia="標楷體" w:hAnsiTheme="minorHAnsi" w:cs="Arial"/>
              </w:rPr>
              <w:t>5</w:t>
            </w:r>
            <w:r w:rsidR="00B37795" w:rsidRPr="009B64C2">
              <w:rPr>
                <w:rFonts w:asciiTheme="minorHAnsi" w:eastAsia="標楷體" w:hAnsiTheme="minorHAnsi"/>
              </w:rPr>
              <w:t>月</w:t>
            </w:r>
            <w:r w:rsidR="00B37795" w:rsidRPr="009B64C2">
              <w:rPr>
                <w:rFonts w:asciiTheme="minorHAnsi" w:eastAsia="標楷體" w:hAnsiTheme="minorHAnsi" w:cs="Arial"/>
              </w:rPr>
              <w:t>22</w:t>
            </w:r>
            <w:r w:rsidR="00B37795" w:rsidRPr="009B64C2">
              <w:rPr>
                <w:rFonts w:asciiTheme="minorHAnsi" w:eastAsia="標楷體" w:hAnsiTheme="minorHAnsi"/>
              </w:rPr>
              <w:t>日發布，經評估目前並無證據顯示該成分蓄積於腦部會造成傷害，故暫不需限縮該類藥品之使用，惟現正持續評估此議題中。</w:t>
            </w:r>
          </w:p>
        </w:tc>
      </w:tr>
      <w:tr w:rsidR="00120FB7" w:rsidRPr="009B64C2" w:rsidTr="00863734">
        <w:trPr>
          <w:trHeight w:val="2581"/>
          <w:jc w:val="center"/>
        </w:trPr>
        <w:tc>
          <w:tcPr>
            <w:tcW w:w="2413" w:type="dxa"/>
            <w:vAlign w:val="center"/>
          </w:tcPr>
          <w:p w:rsidR="00810854" w:rsidRPr="00810854" w:rsidRDefault="00810854" w:rsidP="00810854">
            <w:pPr>
              <w:jc w:val="center"/>
              <w:rPr>
                <w:rFonts w:asciiTheme="minorHAnsi" w:eastAsia="標楷體" w:hAnsiTheme="minorHAnsi"/>
              </w:rPr>
            </w:pPr>
            <w:r w:rsidRPr="00810854">
              <w:rPr>
                <w:rFonts w:asciiTheme="minorHAnsi" w:eastAsia="標楷體" w:hAnsiTheme="minorHAnsi"/>
              </w:rPr>
              <w:t>TFDA</w:t>
            </w:r>
          </w:p>
          <w:p w:rsidR="00120FB7" w:rsidRPr="009B64C2" w:rsidRDefault="00810854" w:rsidP="00810854">
            <w:pPr>
              <w:jc w:val="center"/>
              <w:rPr>
                <w:rFonts w:asciiTheme="minorHAnsi" w:eastAsia="標楷體" w:hAnsiTheme="minorHAnsi"/>
              </w:rPr>
            </w:pPr>
            <w:r w:rsidRPr="00810854">
              <w:rPr>
                <w:rFonts w:asciiTheme="minorHAnsi" w:eastAsia="標楷體" w:hAnsiTheme="minorHAnsi" w:hint="eastAsia"/>
              </w:rPr>
              <w:t>風險溝通說明</w:t>
            </w:r>
          </w:p>
        </w:tc>
        <w:tc>
          <w:tcPr>
            <w:tcW w:w="7316" w:type="dxa"/>
          </w:tcPr>
          <w:p w:rsidR="00120FB7" w:rsidRPr="009B64C2" w:rsidRDefault="00120FB7" w:rsidP="00120FB7">
            <w:pPr>
              <w:pStyle w:val="a9"/>
              <w:numPr>
                <w:ilvl w:val="0"/>
                <w:numId w:val="1"/>
              </w:numPr>
              <w:ind w:leftChars="0"/>
              <w:rPr>
                <w:rFonts w:asciiTheme="minorHAnsi" w:eastAsia="標楷體" w:hAnsiTheme="minorHAnsi"/>
                <w:b/>
                <w:color w:val="000000"/>
                <w:kern w:val="0"/>
                <w:szCs w:val="24"/>
              </w:rPr>
            </w:pPr>
            <w:r w:rsidRPr="009B64C2">
              <w:rPr>
                <w:rFonts w:asciiTheme="minorHAnsi" w:eastAsia="標楷體" w:hAnsiTheme="minorHAnsi"/>
                <w:b/>
                <w:color w:val="000000"/>
                <w:kern w:val="0"/>
                <w:szCs w:val="24"/>
              </w:rPr>
              <w:t>食品藥物管理署說明：</w:t>
            </w:r>
          </w:p>
          <w:p w:rsidR="009B64C2" w:rsidRPr="00B37795" w:rsidRDefault="00643FBC" w:rsidP="00B37795">
            <w:pPr>
              <w:pStyle w:val="Web"/>
              <w:numPr>
                <w:ilvl w:val="0"/>
                <w:numId w:val="44"/>
              </w:numPr>
              <w:shd w:val="clear" w:color="auto" w:fill="FFFFFF"/>
              <w:spacing w:beforeAutospacing="0" w:after="0" w:afterAutospacing="0"/>
              <w:jc w:val="both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食藥署</w:t>
            </w:r>
            <w:r w:rsidR="00B970D4" w:rsidRPr="00B37795">
              <w:rPr>
                <w:rFonts w:asciiTheme="minorHAnsi" w:eastAsia="標楷體" w:hAnsiTheme="minorHAnsi"/>
              </w:rPr>
              <w:t>業於</w:t>
            </w:r>
            <w:r w:rsidR="00B970D4" w:rsidRPr="00B37795">
              <w:rPr>
                <w:rFonts w:asciiTheme="minorHAnsi" w:eastAsia="標楷體" w:hAnsiTheme="minorHAnsi" w:cs="Arial"/>
              </w:rPr>
              <w:t>104</w:t>
            </w:r>
            <w:r w:rsidR="00B970D4" w:rsidRPr="00B37795">
              <w:rPr>
                <w:rFonts w:asciiTheme="minorHAnsi" w:eastAsia="標楷體" w:hAnsiTheme="minorHAnsi"/>
              </w:rPr>
              <w:t>年</w:t>
            </w:r>
            <w:r w:rsidR="00B970D4" w:rsidRPr="00B37795">
              <w:rPr>
                <w:rFonts w:asciiTheme="minorHAnsi" w:eastAsia="標楷體" w:hAnsiTheme="minorHAnsi" w:cs="Arial"/>
              </w:rPr>
              <w:t>8</w:t>
            </w:r>
            <w:r w:rsidR="00B970D4" w:rsidRPr="00B37795">
              <w:rPr>
                <w:rFonts w:asciiTheme="minorHAnsi" w:eastAsia="標楷體" w:hAnsiTheme="minorHAnsi"/>
              </w:rPr>
              <w:t>月發布「含</w:t>
            </w:r>
            <w:r w:rsidR="00B970D4" w:rsidRPr="00B37795">
              <w:rPr>
                <w:rFonts w:asciiTheme="minorHAnsi" w:eastAsia="標楷體" w:hAnsiTheme="minorHAnsi" w:cs="Arial"/>
              </w:rPr>
              <w:t xml:space="preserve">Gadolinium </w:t>
            </w:r>
            <w:r w:rsidR="00B970D4" w:rsidRPr="00B37795">
              <w:rPr>
                <w:rFonts w:asciiTheme="minorHAnsi" w:eastAsia="標楷體" w:hAnsiTheme="minorHAnsi"/>
              </w:rPr>
              <w:t>類成分之顯影劑藥品安全資訊風險溝通表」</w:t>
            </w:r>
            <w:r w:rsidR="002163F2" w:rsidRPr="009B64C2">
              <w:rPr>
                <w:rFonts w:asciiTheme="minorHAnsi" w:eastAsia="標楷體" w:hAnsiTheme="minorHAnsi"/>
              </w:rPr>
              <w:t>提醒醫療人員及民眾注意</w:t>
            </w:r>
            <w:r w:rsidR="00B970D4" w:rsidRPr="00B37795">
              <w:rPr>
                <w:rFonts w:asciiTheme="minorHAnsi" w:eastAsia="標楷體" w:hAnsiTheme="minorHAnsi"/>
              </w:rPr>
              <w:t>。</w:t>
            </w:r>
          </w:p>
          <w:p w:rsidR="009B64C2" w:rsidRDefault="002163F2" w:rsidP="009B64C2">
            <w:pPr>
              <w:pStyle w:val="Web"/>
              <w:numPr>
                <w:ilvl w:val="0"/>
                <w:numId w:val="44"/>
              </w:numPr>
              <w:shd w:val="clear" w:color="auto" w:fill="FFFFFF"/>
              <w:spacing w:beforeAutospacing="0" w:after="0" w:afterAutospacing="0"/>
              <w:jc w:val="both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食藥署</w:t>
            </w:r>
            <w:r w:rsidR="00B970D4" w:rsidRPr="009B64C2">
              <w:rPr>
                <w:rFonts w:asciiTheme="minorHAnsi" w:eastAsia="標楷體" w:hAnsiTheme="minorHAnsi"/>
              </w:rPr>
              <w:t>將</w:t>
            </w:r>
            <w:r>
              <w:rPr>
                <w:rFonts w:asciiTheme="minorHAnsi" w:eastAsia="標楷體" w:hAnsiTheme="minorHAnsi" w:hint="eastAsia"/>
              </w:rPr>
              <w:t>蒐集國內</w:t>
            </w:r>
            <w:r w:rsidR="00017EE0">
              <w:rPr>
                <w:rFonts w:asciiTheme="minorHAnsi" w:eastAsia="標楷體" w:hAnsiTheme="minorHAnsi" w:hint="eastAsia"/>
              </w:rPr>
              <w:t>外相關資料，</w:t>
            </w:r>
            <w:r w:rsidR="00017EE0" w:rsidRPr="009B64C2">
              <w:rPr>
                <w:rFonts w:asciiTheme="minorHAnsi" w:eastAsia="標楷體" w:hAnsiTheme="minorHAnsi"/>
              </w:rPr>
              <w:t>啟動再評估</w:t>
            </w:r>
            <w:r w:rsidR="00017EE0">
              <w:rPr>
                <w:rFonts w:asciiTheme="minorHAnsi" w:eastAsia="標楷體" w:hAnsiTheme="minorHAnsi" w:hint="eastAsia"/>
              </w:rPr>
              <w:t>，重新評估該類藥品使用之臨床效益及風險</w:t>
            </w:r>
            <w:r w:rsidR="00B970D4" w:rsidRPr="009B64C2">
              <w:rPr>
                <w:rFonts w:asciiTheme="minorHAnsi" w:eastAsia="標楷體" w:hAnsiTheme="minorHAnsi"/>
              </w:rPr>
              <w:t>。</w:t>
            </w:r>
          </w:p>
          <w:p w:rsidR="008430D0" w:rsidRPr="009B64C2" w:rsidRDefault="008430D0" w:rsidP="008430D0">
            <w:pPr>
              <w:pStyle w:val="Web"/>
              <w:shd w:val="clear" w:color="auto" w:fill="FFFFFF"/>
              <w:spacing w:beforeAutospacing="0" w:after="0" w:afterAutospacing="0"/>
              <w:jc w:val="both"/>
              <w:rPr>
                <w:rFonts w:asciiTheme="minorHAnsi" w:eastAsia="標楷體" w:hAnsiTheme="minorHAnsi"/>
              </w:rPr>
            </w:pPr>
          </w:p>
          <w:p w:rsidR="00120FB7" w:rsidRPr="009B64C2" w:rsidRDefault="00120FB7" w:rsidP="00B70E1C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400" w:lineRule="exact"/>
              <w:rPr>
                <w:rFonts w:asciiTheme="minorHAnsi" w:eastAsia="標楷體" w:hAnsiTheme="minorHAnsi" w:cs="Times New Roman"/>
                <w:b/>
                <w:color w:val="000000"/>
              </w:rPr>
            </w:pPr>
            <w:r w:rsidRPr="009B64C2">
              <w:rPr>
                <w:rFonts w:asciiTheme="minorHAnsi" w:eastAsia="標楷體" w:hAnsiTheme="minorHAnsi" w:cs="Times New Roman"/>
                <w:b/>
                <w:bCs/>
                <w:color w:val="000000"/>
                <w:u w:val="single"/>
              </w:rPr>
              <w:t>醫療人員</w:t>
            </w:r>
            <w:r w:rsidRPr="009B64C2">
              <w:rPr>
                <w:rFonts w:asciiTheme="minorHAnsi" w:eastAsia="標楷體" w:hAnsiTheme="minorHAnsi" w:cs="Times New Roman"/>
                <w:b/>
                <w:color w:val="000000"/>
              </w:rPr>
              <w:t>應注意事項：</w:t>
            </w:r>
          </w:p>
          <w:p w:rsidR="00120FB7" w:rsidRPr="009B64C2" w:rsidRDefault="00120FB7" w:rsidP="00F3622B">
            <w:pPr>
              <w:pStyle w:val="Web"/>
              <w:numPr>
                <w:ilvl w:val="1"/>
                <w:numId w:val="1"/>
              </w:numPr>
              <w:tabs>
                <w:tab w:val="clear" w:pos="1440"/>
                <w:tab w:val="num" w:pos="922"/>
              </w:tabs>
              <w:spacing w:before="0" w:beforeAutospacing="0" w:after="0" w:afterAutospacing="0" w:line="400" w:lineRule="exact"/>
              <w:ind w:left="638" w:hanging="283"/>
              <w:rPr>
                <w:rFonts w:asciiTheme="minorHAnsi" w:eastAsia="標楷體" w:hAnsiTheme="minorHAnsi" w:cs="Times New Roman"/>
                <w:b/>
                <w:color w:val="000000"/>
              </w:rPr>
            </w:pPr>
            <w:r w:rsidRPr="009B64C2">
              <w:rPr>
                <w:rFonts w:asciiTheme="minorHAnsi" w:eastAsia="標楷體" w:hAnsiTheme="minorHAnsi" w:cs="Times New Roman"/>
              </w:rPr>
              <w:t>醫師於處方含</w:t>
            </w:r>
            <w:r w:rsidRPr="009B64C2">
              <w:rPr>
                <w:rFonts w:asciiTheme="minorHAnsi" w:eastAsia="標楷體" w:hAnsiTheme="minorHAnsi" w:cs="Times New Roman"/>
              </w:rPr>
              <w:t>gadolinium</w:t>
            </w:r>
            <w:r w:rsidRPr="009B64C2">
              <w:rPr>
                <w:rFonts w:asciiTheme="minorHAnsi" w:eastAsia="標楷體" w:hAnsiTheme="minorHAnsi" w:cs="Times New Roman"/>
              </w:rPr>
              <w:t>類顯影劑前，應謹慎評估病人使用該類藥品之臨床效益與風險，在能提供臨床必要資訊的情況下使用。</w:t>
            </w:r>
          </w:p>
          <w:p w:rsidR="00120FB7" w:rsidRDefault="00120FB7" w:rsidP="003F3929">
            <w:pPr>
              <w:pStyle w:val="Web"/>
              <w:numPr>
                <w:ilvl w:val="1"/>
                <w:numId w:val="1"/>
              </w:numPr>
              <w:tabs>
                <w:tab w:val="clear" w:pos="1440"/>
                <w:tab w:val="num" w:pos="922"/>
              </w:tabs>
              <w:spacing w:before="0" w:beforeAutospacing="0" w:after="0" w:afterAutospacing="0" w:line="400" w:lineRule="exact"/>
              <w:ind w:left="638" w:hanging="283"/>
              <w:rPr>
                <w:rFonts w:asciiTheme="minorHAnsi" w:eastAsia="標楷體" w:hAnsiTheme="minorHAnsi" w:cs="Times New Roman"/>
              </w:rPr>
            </w:pPr>
            <w:r w:rsidRPr="009B64C2">
              <w:rPr>
                <w:rFonts w:asciiTheme="minorHAnsi" w:eastAsia="標楷體" w:hAnsiTheme="minorHAnsi" w:cs="Times New Roman"/>
              </w:rPr>
              <w:t>若需重複進行核磁造影時，應審慎評估重複使用含</w:t>
            </w:r>
            <w:r w:rsidRPr="009B64C2">
              <w:rPr>
                <w:rFonts w:asciiTheme="minorHAnsi" w:eastAsia="標楷體" w:hAnsiTheme="minorHAnsi" w:cs="Times New Roman"/>
              </w:rPr>
              <w:t>gadolinium</w:t>
            </w:r>
            <w:r w:rsidRPr="009B64C2">
              <w:rPr>
                <w:rFonts w:asciiTheme="minorHAnsi" w:eastAsia="標楷體" w:hAnsiTheme="minorHAnsi" w:cs="Times New Roman"/>
              </w:rPr>
              <w:t>顯影劑之必要性。</w:t>
            </w:r>
          </w:p>
          <w:p w:rsidR="008430D0" w:rsidRPr="009B64C2" w:rsidRDefault="008430D0" w:rsidP="008430D0">
            <w:pPr>
              <w:pStyle w:val="Web"/>
              <w:spacing w:before="0" w:beforeAutospacing="0" w:after="0" w:afterAutospacing="0" w:line="400" w:lineRule="exact"/>
              <w:ind w:left="355"/>
              <w:rPr>
                <w:rFonts w:asciiTheme="minorHAnsi" w:eastAsia="標楷體" w:hAnsiTheme="minorHAnsi" w:cs="Times New Roman"/>
              </w:rPr>
            </w:pPr>
          </w:p>
          <w:p w:rsidR="00120FB7" w:rsidRPr="009B64C2" w:rsidRDefault="00120FB7" w:rsidP="003F3929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400" w:lineRule="exact"/>
              <w:rPr>
                <w:rFonts w:asciiTheme="minorHAnsi" w:eastAsia="標楷體" w:hAnsiTheme="minorHAnsi" w:cs="Times New Roman"/>
                <w:b/>
                <w:color w:val="000000"/>
              </w:rPr>
            </w:pPr>
            <w:r w:rsidRPr="009B64C2">
              <w:rPr>
                <w:rFonts w:asciiTheme="minorHAnsi" w:eastAsia="標楷體" w:hAnsiTheme="minorHAnsi" w:cs="Times New Roman"/>
                <w:b/>
                <w:bCs/>
                <w:color w:val="000000"/>
                <w:u w:val="single"/>
              </w:rPr>
              <w:t>病人</w:t>
            </w:r>
            <w:r w:rsidRPr="009B64C2">
              <w:rPr>
                <w:rFonts w:asciiTheme="minorHAnsi" w:eastAsia="標楷體" w:hAnsiTheme="minorHAnsi" w:cs="Times New Roman"/>
                <w:b/>
                <w:color w:val="000000"/>
              </w:rPr>
              <w:t>應注意事項：</w:t>
            </w:r>
          </w:p>
          <w:p w:rsidR="00120FB7" w:rsidRPr="009B64C2" w:rsidRDefault="00120FB7" w:rsidP="00132F62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 w:line="400" w:lineRule="exact"/>
              <w:ind w:left="638" w:hanging="283"/>
              <w:jc w:val="both"/>
              <w:rPr>
                <w:rFonts w:asciiTheme="minorHAnsi" w:eastAsia="標楷體" w:hAnsiTheme="minorHAnsi" w:cs="Times New Roman"/>
              </w:rPr>
            </w:pPr>
            <w:r w:rsidRPr="009B64C2">
              <w:rPr>
                <w:rFonts w:asciiTheme="minorHAnsi" w:eastAsia="標楷體" w:hAnsiTheme="minorHAnsi" w:cs="Times New Roman"/>
              </w:rPr>
              <w:t>若對於含</w:t>
            </w:r>
            <w:r w:rsidRPr="009B64C2">
              <w:rPr>
                <w:rFonts w:asciiTheme="minorHAnsi" w:eastAsia="標楷體" w:hAnsiTheme="minorHAnsi" w:cs="Times New Roman"/>
              </w:rPr>
              <w:t>gadolinium</w:t>
            </w:r>
            <w:r w:rsidRPr="009B64C2">
              <w:rPr>
                <w:rFonts w:asciiTheme="minorHAnsi" w:eastAsia="標楷體" w:hAnsiTheme="minorHAnsi" w:cs="Times New Roman"/>
              </w:rPr>
              <w:t>顯影劑有相關疑問，應諮詢醫療人員。</w:t>
            </w:r>
          </w:p>
          <w:p w:rsidR="00120FB7" w:rsidRPr="009B64C2" w:rsidRDefault="00120FB7" w:rsidP="00120FB7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 w:line="400" w:lineRule="exact"/>
              <w:ind w:left="638" w:hanging="283"/>
              <w:jc w:val="both"/>
              <w:rPr>
                <w:rFonts w:asciiTheme="minorHAnsi" w:eastAsia="標楷體" w:hAnsiTheme="minorHAnsi" w:cs="Times New Roman"/>
              </w:rPr>
            </w:pPr>
            <w:r w:rsidRPr="009B64C2">
              <w:rPr>
                <w:rFonts w:asciiTheme="minorHAnsi" w:eastAsia="標楷體" w:hAnsiTheme="minorHAnsi" w:cs="Times New Roman"/>
              </w:rPr>
              <w:t>用藥後若出現不適症狀，應告知醫療人員或立即就醫。</w:t>
            </w:r>
          </w:p>
          <w:p w:rsidR="00120FB7" w:rsidRPr="009B64C2" w:rsidRDefault="00120FB7" w:rsidP="00120FB7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400" w:lineRule="exact"/>
              <w:rPr>
                <w:rFonts w:asciiTheme="minorHAnsi" w:eastAsia="標楷體" w:hAnsiTheme="minorHAnsi" w:cs="Times New Roman"/>
              </w:rPr>
            </w:pPr>
            <w:r w:rsidRPr="009B64C2">
              <w:rPr>
                <w:rFonts w:asciiTheme="minorHAnsi" w:eastAsia="標楷體" w:hAnsiTheme="minorHAnsi" w:cs="Times New Roman"/>
              </w:rPr>
              <w:t>醫療人員或病人懷疑因為使用（服用）藥品導致不良反應發生時，請立即通報給衛生福利部所建置之全國藥物不良反應通報中心，並副知所屬廠商，藥物不良反應通報專線</w:t>
            </w:r>
            <w:r w:rsidRPr="009B64C2">
              <w:rPr>
                <w:rFonts w:asciiTheme="minorHAnsi" w:eastAsia="標楷體" w:hAnsiTheme="minorHAnsi" w:cs="Times New Roman"/>
              </w:rPr>
              <w:t>02-2396-0100</w:t>
            </w:r>
            <w:r w:rsidRPr="009B64C2">
              <w:rPr>
                <w:rFonts w:asciiTheme="minorHAnsi" w:eastAsia="標楷體" w:hAnsiTheme="minorHAnsi" w:cs="Times New Roman"/>
              </w:rPr>
              <w:t>，網站：</w:t>
            </w:r>
            <w:hyperlink r:id="rId8" w:history="1">
              <w:r w:rsidRPr="009B64C2">
                <w:rPr>
                  <w:rStyle w:val="ab"/>
                  <w:rFonts w:asciiTheme="minorHAnsi" w:eastAsia="標楷體" w:hAnsiTheme="minorHAnsi"/>
                </w:rPr>
                <w:t>https://adr.fda.gov.tw</w:t>
              </w:r>
            </w:hyperlink>
            <w:r w:rsidRPr="009B64C2">
              <w:rPr>
                <w:rFonts w:asciiTheme="minorHAnsi" w:eastAsia="標楷體" w:hAnsiTheme="minorHAnsi" w:cs="Times New Roman"/>
              </w:rPr>
              <w:t>；衛生福利部食品藥物管理署獲知藥品安全訊息時，均會蒐集彙整相關資料進行評估，並對於新增之藥品風險採取對應之風險管控措施。</w:t>
            </w:r>
          </w:p>
        </w:tc>
      </w:tr>
    </w:tbl>
    <w:p w:rsidR="00211E09" w:rsidRPr="009B64C2" w:rsidRDefault="00211E09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610C41" w:rsidRPr="009B64C2" w:rsidRDefault="00610C41">
      <w:pPr>
        <w:rPr>
          <w:rFonts w:asciiTheme="minorHAnsi" w:eastAsia="標楷體" w:hAnsiTheme="minorHAnsi"/>
        </w:rPr>
      </w:pPr>
    </w:p>
    <w:p w:rsidR="00610C41" w:rsidRPr="009B64C2" w:rsidRDefault="00610C4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750755" w:rsidRPr="009B64C2" w:rsidRDefault="00750755">
      <w:pPr>
        <w:rPr>
          <w:rFonts w:asciiTheme="minorHAnsi" w:eastAsia="標楷體" w:hAnsiTheme="minorHAnsi"/>
        </w:rPr>
      </w:pPr>
    </w:p>
    <w:p w:rsidR="00750755" w:rsidRPr="009B64C2" w:rsidRDefault="00750755">
      <w:pPr>
        <w:rPr>
          <w:rFonts w:asciiTheme="minorHAnsi" w:eastAsia="標楷體" w:hAnsiTheme="minorHAnsi"/>
        </w:rPr>
      </w:pPr>
    </w:p>
    <w:p w:rsidR="00750755" w:rsidRPr="009B64C2" w:rsidRDefault="00750755">
      <w:pPr>
        <w:rPr>
          <w:rFonts w:asciiTheme="minorHAnsi" w:eastAsia="標楷體" w:hAnsiTheme="minorHAnsi"/>
        </w:rPr>
      </w:pPr>
    </w:p>
    <w:p w:rsidR="00750755" w:rsidRPr="009B64C2" w:rsidRDefault="00750755">
      <w:pPr>
        <w:rPr>
          <w:rFonts w:asciiTheme="minorHAnsi" w:eastAsia="標楷體" w:hAnsiTheme="minorHAnsi"/>
        </w:rPr>
      </w:pPr>
    </w:p>
    <w:p w:rsidR="00750755" w:rsidRPr="009B64C2" w:rsidRDefault="00750755">
      <w:pPr>
        <w:rPr>
          <w:rFonts w:asciiTheme="minorHAnsi" w:eastAsia="標楷體" w:hAnsiTheme="minorHAnsi"/>
        </w:rPr>
      </w:pPr>
    </w:p>
    <w:p w:rsidR="00750755" w:rsidRPr="009B64C2" w:rsidRDefault="00750755">
      <w:pPr>
        <w:rPr>
          <w:rFonts w:asciiTheme="minorHAnsi" w:eastAsia="標楷體" w:hAnsiTheme="minorHAnsi"/>
        </w:rPr>
      </w:pPr>
    </w:p>
    <w:p w:rsidR="00750755" w:rsidRPr="009B64C2" w:rsidRDefault="00750755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EE03DA" w:rsidRDefault="00EE03DA">
      <w:pPr>
        <w:widowControl/>
        <w:rPr>
          <w:rFonts w:asciiTheme="minorHAnsi" w:eastAsia="標楷體" w:hAnsiTheme="minorHAnsi"/>
        </w:rPr>
      </w:pPr>
      <w:r>
        <w:rPr>
          <w:rFonts w:asciiTheme="minorHAnsi" w:eastAsia="標楷體" w:hAnsiTheme="minorHAnsi"/>
        </w:rPr>
        <w:br w:type="page"/>
      </w: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 w:rsidP="005953F1">
      <w:pPr>
        <w:jc w:val="center"/>
        <w:rPr>
          <w:rFonts w:asciiTheme="minorHAnsi" w:eastAsia="標楷體" w:hAnsiTheme="minorHAnsi"/>
          <w:b/>
          <w:bCs/>
          <w:kern w:val="36"/>
          <w:sz w:val="36"/>
          <w:szCs w:val="36"/>
          <w:lang w:bidi="hi-IN"/>
        </w:rPr>
      </w:pPr>
      <w:r w:rsidRPr="009B64C2">
        <w:rPr>
          <w:rFonts w:asciiTheme="minorHAnsi" w:eastAsia="標楷體" w:hAnsiTheme="minorHAnsi"/>
          <w:b/>
          <w:bCs/>
          <w:kern w:val="36"/>
          <w:sz w:val="36"/>
          <w:szCs w:val="36"/>
          <w:lang w:bidi="hi-IN"/>
        </w:rPr>
        <w:t>附件</w:t>
      </w:r>
      <w:r w:rsidRPr="009B64C2">
        <w:rPr>
          <w:rFonts w:asciiTheme="minorHAnsi" w:eastAsia="標楷體" w:hAnsiTheme="minorHAnsi"/>
          <w:b/>
          <w:bCs/>
          <w:kern w:val="36"/>
          <w:sz w:val="36"/>
          <w:szCs w:val="36"/>
          <w:lang w:bidi="hi-IN"/>
        </w:rPr>
        <w:t xml:space="preserve"> </w:t>
      </w:r>
      <w:r w:rsidR="00EF0065" w:rsidRPr="009B64C2">
        <w:rPr>
          <w:rFonts w:asciiTheme="minorHAnsi" w:eastAsia="標楷體" w:hAnsiTheme="minorHAnsi"/>
          <w:b/>
          <w:bCs/>
          <w:kern w:val="36"/>
          <w:sz w:val="36"/>
          <w:szCs w:val="36"/>
          <w:lang w:bidi="hi-IN"/>
        </w:rPr>
        <w:t>含</w:t>
      </w:r>
      <w:r w:rsidR="00863734" w:rsidRPr="009B64C2">
        <w:rPr>
          <w:rFonts w:asciiTheme="minorHAnsi" w:eastAsia="標楷體" w:hAnsiTheme="minorHAnsi"/>
          <w:b/>
          <w:bCs/>
          <w:kern w:val="36"/>
          <w:sz w:val="36"/>
          <w:szCs w:val="36"/>
          <w:lang w:bidi="hi-IN"/>
        </w:rPr>
        <w:t>g</w:t>
      </w:r>
      <w:r w:rsidR="00EF0065" w:rsidRPr="009B64C2">
        <w:rPr>
          <w:rFonts w:asciiTheme="minorHAnsi" w:eastAsia="標楷體" w:hAnsiTheme="minorHAnsi"/>
          <w:b/>
          <w:bCs/>
          <w:kern w:val="36"/>
          <w:sz w:val="36"/>
          <w:szCs w:val="36"/>
          <w:lang w:bidi="hi-IN"/>
        </w:rPr>
        <w:t>adolinium</w:t>
      </w:r>
      <w:r w:rsidR="00EF0065" w:rsidRPr="009B64C2">
        <w:rPr>
          <w:rFonts w:asciiTheme="minorHAnsi" w:eastAsia="標楷體" w:hAnsiTheme="minorHAnsi"/>
          <w:b/>
          <w:bCs/>
          <w:kern w:val="36"/>
          <w:sz w:val="36"/>
          <w:szCs w:val="36"/>
          <w:lang w:bidi="hi-IN"/>
        </w:rPr>
        <w:t>類成分顯影劑</w:t>
      </w:r>
      <w:r w:rsidRPr="009B64C2">
        <w:rPr>
          <w:rFonts w:asciiTheme="minorHAnsi" w:eastAsia="標楷體" w:hAnsiTheme="minorHAnsi"/>
          <w:b/>
          <w:bCs/>
          <w:kern w:val="36"/>
          <w:sz w:val="36"/>
          <w:szCs w:val="36"/>
          <w:lang w:bidi="hi-IN"/>
        </w:rPr>
        <w:t>藥品之適應症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36"/>
        <w:gridCol w:w="6553"/>
      </w:tblGrid>
      <w:tr w:rsidR="005953F1" w:rsidRPr="009B64C2" w:rsidTr="00ED7201">
        <w:tc>
          <w:tcPr>
            <w:tcW w:w="1936" w:type="dxa"/>
          </w:tcPr>
          <w:p w:rsidR="005953F1" w:rsidRPr="009B64C2" w:rsidRDefault="005953F1" w:rsidP="00B834B3">
            <w:pPr>
              <w:jc w:val="center"/>
              <w:rPr>
                <w:rFonts w:asciiTheme="minorHAnsi" w:eastAsia="標楷體" w:hAnsiTheme="minorHAnsi"/>
              </w:rPr>
            </w:pPr>
            <w:r w:rsidRPr="009B64C2">
              <w:rPr>
                <w:rFonts w:asciiTheme="minorHAnsi" w:eastAsia="標楷體" w:hAnsiTheme="minorHAnsi"/>
              </w:rPr>
              <w:t>成分</w:t>
            </w:r>
          </w:p>
        </w:tc>
        <w:tc>
          <w:tcPr>
            <w:tcW w:w="6553" w:type="dxa"/>
          </w:tcPr>
          <w:p w:rsidR="005953F1" w:rsidRPr="009B64C2" w:rsidRDefault="005953F1" w:rsidP="00B834B3">
            <w:pPr>
              <w:jc w:val="center"/>
              <w:rPr>
                <w:rFonts w:asciiTheme="minorHAnsi" w:eastAsia="標楷體" w:hAnsiTheme="minorHAnsi"/>
              </w:rPr>
            </w:pPr>
            <w:r w:rsidRPr="009B64C2">
              <w:rPr>
                <w:rFonts w:asciiTheme="minorHAnsi" w:eastAsia="標楷體" w:hAnsiTheme="minorHAnsi"/>
              </w:rPr>
              <w:t>適應症</w:t>
            </w:r>
          </w:p>
        </w:tc>
      </w:tr>
      <w:tr w:rsidR="00EF0065" w:rsidRPr="009B64C2" w:rsidTr="00ED7201">
        <w:tc>
          <w:tcPr>
            <w:tcW w:w="8489" w:type="dxa"/>
            <w:gridSpan w:val="2"/>
            <w:shd w:val="clear" w:color="auto" w:fill="D9D9D9" w:themeFill="background1" w:themeFillShade="D9"/>
          </w:tcPr>
          <w:p w:rsidR="00EF0065" w:rsidRPr="009B64C2" w:rsidRDefault="00EF0065" w:rsidP="00B834B3">
            <w:pPr>
              <w:rPr>
                <w:rFonts w:asciiTheme="minorHAnsi" w:eastAsia="標楷體" w:hAnsiTheme="minorHAnsi"/>
                <w:szCs w:val="24"/>
              </w:rPr>
            </w:pPr>
            <w:r w:rsidRPr="009B64C2">
              <w:rPr>
                <w:rFonts w:asciiTheme="minorHAnsi" w:eastAsia="標楷體" w:hAnsiTheme="minorHAnsi"/>
                <w:szCs w:val="24"/>
              </w:rPr>
              <w:t>線性結構</w:t>
            </w:r>
          </w:p>
        </w:tc>
      </w:tr>
      <w:tr w:rsidR="005953F1" w:rsidRPr="009B64C2" w:rsidTr="00CD3BFC">
        <w:tc>
          <w:tcPr>
            <w:tcW w:w="1936" w:type="dxa"/>
          </w:tcPr>
          <w:p w:rsidR="005953F1" w:rsidRPr="009B64C2" w:rsidRDefault="00FF0CE2" w:rsidP="00B834B3">
            <w:pPr>
              <w:rPr>
                <w:rFonts w:asciiTheme="minorHAnsi" w:eastAsia="標楷體" w:hAnsiTheme="minorHAnsi"/>
              </w:rPr>
            </w:pPr>
            <w:r w:rsidRPr="009B64C2">
              <w:rPr>
                <w:rFonts w:asciiTheme="minorHAnsi" w:eastAsia="標楷體" w:hAnsiTheme="minorHAnsi"/>
              </w:rPr>
              <w:t>Gadopentetate dimeglumine</w:t>
            </w:r>
          </w:p>
        </w:tc>
        <w:tc>
          <w:tcPr>
            <w:tcW w:w="6553" w:type="dxa"/>
            <w:vAlign w:val="center"/>
          </w:tcPr>
          <w:p w:rsidR="005953F1" w:rsidRPr="009B64C2" w:rsidRDefault="00ED7201" w:rsidP="00CD3BFC">
            <w:pPr>
              <w:jc w:val="both"/>
              <w:rPr>
                <w:rFonts w:asciiTheme="minorHAnsi" w:eastAsia="標楷體" w:hAnsiTheme="minorHAnsi"/>
                <w:szCs w:val="24"/>
              </w:rPr>
            </w:pPr>
            <w:r w:rsidRPr="009B64C2">
              <w:rPr>
                <w:rFonts w:asciiTheme="minorHAnsi" w:eastAsia="標楷體" w:hAnsiTheme="minorHAnsi"/>
                <w:szCs w:val="24"/>
              </w:rPr>
              <w:t>顱和脊髓、全身的核磁共振攝影。</w:t>
            </w:r>
          </w:p>
        </w:tc>
      </w:tr>
      <w:tr w:rsidR="005953F1" w:rsidRPr="009B64C2" w:rsidTr="00CD3BFC">
        <w:tc>
          <w:tcPr>
            <w:tcW w:w="1936" w:type="dxa"/>
          </w:tcPr>
          <w:p w:rsidR="005953F1" w:rsidRPr="009B64C2" w:rsidRDefault="00ED7201" w:rsidP="00B834B3">
            <w:pPr>
              <w:rPr>
                <w:rFonts w:asciiTheme="minorHAnsi" w:eastAsia="標楷體" w:hAnsiTheme="minorHAnsi"/>
              </w:rPr>
            </w:pPr>
            <w:r w:rsidRPr="009B64C2">
              <w:rPr>
                <w:rFonts w:asciiTheme="minorHAnsi" w:eastAsia="標楷體" w:hAnsiTheme="minorHAnsi"/>
              </w:rPr>
              <w:t xml:space="preserve">Gadodiamide </w:t>
            </w:r>
          </w:p>
        </w:tc>
        <w:tc>
          <w:tcPr>
            <w:tcW w:w="6553" w:type="dxa"/>
            <w:vAlign w:val="center"/>
          </w:tcPr>
          <w:p w:rsidR="005953F1" w:rsidRPr="009B64C2" w:rsidRDefault="00ED7201" w:rsidP="00CD3BFC">
            <w:pPr>
              <w:jc w:val="both"/>
              <w:rPr>
                <w:rFonts w:asciiTheme="minorHAnsi" w:eastAsia="標楷體" w:hAnsiTheme="minorHAnsi"/>
                <w:szCs w:val="24"/>
              </w:rPr>
            </w:pPr>
            <w:r w:rsidRPr="009B64C2">
              <w:rPr>
                <w:rFonts w:asciiTheme="minorHAnsi" w:eastAsia="標楷體" w:hAnsiTheme="minorHAnsi"/>
                <w:szCs w:val="24"/>
              </w:rPr>
              <w:t>腦、脊髓磁振顯影及全身磁振顯影。</w:t>
            </w:r>
          </w:p>
        </w:tc>
      </w:tr>
      <w:tr w:rsidR="005953F1" w:rsidRPr="009B64C2" w:rsidTr="00CD3BFC">
        <w:tc>
          <w:tcPr>
            <w:tcW w:w="1936" w:type="dxa"/>
          </w:tcPr>
          <w:p w:rsidR="005953F1" w:rsidRPr="009B64C2" w:rsidRDefault="00ED7201" w:rsidP="00B834B3">
            <w:pPr>
              <w:rPr>
                <w:rFonts w:asciiTheme="minorHAnsi" w:eastAsia="標楷體" w:hAnsiTheme="minorHAnsi"/>
              </w:rPr>
            </w:pPr>
            <w:r w:rsidRPr="009B64C2">
              <w:rPr>
                <w:rFonts w:asciiTheme="minorHAnsi" w:eastAsia="標楷體" w:hAnsiTheme="minorHAnsi"/>
              </w:rPr>
              <w:t xml:space="preserve">Gadoversetamide </w:t>
            </w:r>
          </w:p>
        </w:tc>
        <w:tc>
          <w:tcPr>
            <w:tcW w:w="6553" w:type="dxa"/>
            <w:vAlign w:val="center"/>
          </w:tcPr>
          <w:p w:rsidR="0079161D" w:rsidRPr="009B64C2" w:rsidRDefault="0079161D" w:rsidP="00CD3BFC">
            <w:pPr>
              <w:jc w:val="both"/>
              <w:rPr>
                <w:rFonts w:asciiTheme="minorHAnsi" w:eastAsia="標楷體" w:hAnsiTheme="minorHAnsi"/>
                <w:szCs w:val="24"/>
              </w:rPr>
            </w:pPr>
            <w:r w:rsidRPr="009B64C2">
              <w:rPr>
                <w:rFonts w:asciiTheme="minorHAnsi" w:eastAsia="標楷體" w:hAnsiTheme="minorHAnsi"/>
                <w:szCs w:val="24"/>
              </w:rPr>
              <w:t>CNS</w:t>
            </w:r>
            <w:r w:rsidRPr="009B64C2">
              <w:rPr>
                <w:rFonts w:asciiTheme="minorHAnsi" w:eastAsia="標楷體" w:hAnsiTheme="minorHAnsi"/>
                <w:szCs w:val="24"/>
              </w:rPr>
              <w:t>（</w:t>
            </w:r>
            <w:r w:rsidR="00ED7201" w:rsidRPr="009B64C2">
              <w:rPr>
                <w:rFonts w:asciiTheme="minorHAnsi" w:eastAsia="標楷體" w:hAnsiTheme="minorHAnsi"/>
                <w:szCs w:val="24"/>
              </w:rPr>
              <w:t>中樞神經系統</w:t>
            </w:r>
            <w:r w:rsidRPr="009B64C2">
              <w:rPr>
                <w:rFonts w:asciiTheme="minorHAnsi" w:eastAsia="標楷體" w:hAnsiTheme="minorHAnsi"/>
                <w:szCs w:val="24"/>
              </w:rPr>
              <w:t>）</w:t>
            </w:r>
            <w:r w:rsidR="00ED7201" w:rsidRPr="009B64C2">
              <w:rPr>
                <w:rFonts w:asciiTheme="minorHAnsi" w:eastAsia="標楷體" w:hAnsiTheme="minorHAnsi"/>
                <w:szCs w:val="24"/>
              </w:rPr>
              <w:t>：可用於血腦屏障異常或腦部、脊髓及相關組織血管分布異常患者的核磁共振</w:t>
            </w:r>
            <w:r w:rsidRPr="009B64C2">
              <w:rPr>
                <w:rFonts w:asciiTheme="minorHAnsi" w:eastAsia="標楷體" w:hAnsiTheme="minorHAnsi"/>
                <w:szCs w:val="24"/>
              </w:rPr>
              <w:t>（</w:t>
            </w:r>
            <w:r w:rsidRPr="009B64C2">
              <w:rPr>
                <w:rFonts w:asciiTheme="minorHAnsi" w:eastAsia="標楷體" w:hAnsiTheme="minorHAnsi"/>
                <w:szCs w:val="24"/>
              </w:rPr>
              <w:t>MRI</w:t>
            </w:r>
            <w:r w:rsidRPr="009B64C2">
              <w:rPr>
                <w:rFonts w:asciiTheme="minorHAnsi" w:eastAsia="標楷體" w:hAnsiTheme="minorHAnsi"/>
                <w:szCs w:val="24"/>
              </w:rPr>
              <w:t>）</w:t>
            </w:r>
            <w:r w:rsidR="00ED7201" w:rsidRPr="009B64C2">
              <w:rPr>
                <w:rFonts w:asciiTheme="minorHAnsi" w:eastAsia="標楷體" w:hAnsiTheme="minorHAnsi"/>
                <w:szCs w:val="24"/>
              </w:rPr>
              <w:t>造影。</w:t>
            </w:r>
          </w:p>
          <w:p w:rsidR="005953F1" w:rsidRPr="009B64C2" w:rsidRDefault="00ED7201" w:rsidP="00CD3BFC">
            <w:pPr>
              <w:jc w:val="both"/>
              <w:rPr>
                <w:rFonts w:asciiTheme="minorHAnsi" w:eastAsia="標楷體" w:hAnsiTheme="minorHAnsi"/>
                <w:szCs w:val="24"/>
              </w:rPr>
            </w:pPr>
            <w:r w:rsidRPr="009B64C2">
              <w:rPr>
                <w:rFonts w:asciiTheme="minorHAnsi" w:eastAsia="標楷體" w:hAnsiTheme="minorHAnsi"/>
                <w:szCs w:val="24"/>
              </w:rPr>
              <w:t>肝臟：用於及電腦斷層攝影顯示為高度肝臟結構異常患者的</w:t>
            </w:r>
            <w:r w:rsidRPr="009B64C2">
              <w:rPr>
                <w:rFonts w:asciiTheme="minorHAnsi" w:eastAsia="標楷體" w:hAnsiTheme="minorHAnsi"/>
                <w:szCs w:val="24"/>
              </w:rPr>
              <w:t>MRI</w:t>
            </w:r>
            <w:r w:rsidRPr="009B64C2">
              <w:rPr>
                <w:rFonts w:asciiTheme="minorHAnsi" w:eastAsia="標楷體" w:hAnsiTheme="minorHAnsi"/>
                <w:szCs w:val="24"/>
              </w:rPr>
              <w:t>造影，來提供對比增強圖像，以及於肝臟血管分佈異常病</w:t>
            </w:r>
            <w:r w:rsidR="0079161D" w:rsidRPr="009B64C2">
              <w:rPr>
                <w:rFonts w:asciiTheme="minorHAnsi" w:eastAsia="標楷體" w:hAnsiTheme="minorHAnsi"/>
                <w:szCs w:val="24"/>
              </w:rPr>
              <w:t>灶</w:t>
            </w:r>
            <w:r w:rsidRPr="009B64C2">
              <w:rPr>
                <w:rFonts w:asciiTheme="minorHAnsi" w:eastAsia="標楷體" w:hAnsiTheme="minorHAnsi"/>
                <w:szCs w:val="24"/>
              </w:rPr>
              <w:t>的視覺顯示。</w:t>
            </w:r>
          </w:p>
        </w:tc>
      </w:tr>
      <w:tr w:rsidR="005953F1" w:rsidRPr="009B64C2" w:rsidTr="00CD3BFC">
        <w:tc>
          <w:tcPr>
            <w:tcW w:w="1936" w:type="dxa"/>
          </w:tcPr>
          <w:p w:rsidR="005953F1" w:rsidRPr="009B64C2" w:rsidRDefault="00ED7201" w:rsidP="00B834B3">
            <w:pPr>
              <w:rPr>
                <w:rFonts w:asciiTheme="minorHAnsi" w:eastAsia="標楷體" w:hAnsiTheme="minorHAnsi"/>
              </w:rPr>
            </w:pPr>
            <w:r w:rsidRPr="009B64C2">
              <w:rPr>
                <w:rFonts w:asciiTheme="minorHAnsi" w:eastAsia="標楷體" w:hAnsiTheme="minorHAnsi"/>
              </w:rPr>
              <w:t>Gadoxetic acid</w:t>
            </w:r>
          </w:p>
        </w:tc>
        <w:tc>
          <w:tcPr>
            <w:tcW w:w="6553" w:type="dxa"/>
            <w:vAlign w:val="center"/>
          </w:tcPr>
          <w:p w:rsidR="005953F1" w:rsidRPr="009B64C2" w:rsidRDefault="00ED7201" w:rsidP="00CD3BFC">
            <w:pPr>
              <w:jc w:val="both"/>
              <w:rPr>
                <w:rFonts w:asciiTheme="minorHAnsi" w:eastAsia="標楷體" w:hAnsiTheme="minorHAnsi"/>
                <w:szCs w:val="24"/>
              </w:rPr>
            </w:pPr>
            <w:r w:rsidRPr="009B64C2">
              <w:rPr>
                <w:rFonts w:asciiTheme="minorHAnsi" w:eastAsia="標楷體" w:hAnsiTheme="minorHAnsi"/>
                <w:szCs w:val="24"/>
              </w:rPr>
              <w:t>適用於</w:t>
            </w:r>
            <w:r w:rsidR="001D4E3F" w:rsidRPr="009B64C2">
              <w:rPr>
                <w:rFonts w:asciiTheme="minorHAnsi" w:eastAsia="標楷體" w:hAnsiTheme="minorHAnsi"/>
                <w:szCs w:val="24"/>
              </w:rPr>
              <w:t>T1</w:t>
            </w:r>
            <w:r w:rsidRPr="009B64C2">
              <w:rPr>
                <w:rFonts w:asciiTheme="minorHAnsi" w:eastAsia="標楷體" w:hAnsiTheme="minorHAnsi"/>
                <w:szCs w:val="24"/>
              </w:rPr>
              <w:t>加權掃描核磁造影時，偵測肝臟局部病灶及提供病灶特性資訊。</w:t>
            </w:r>
          </w:p>
        </w:tc>
      </w:tr>
      <w:tr w:rsidR="00993B2A" w:rsidRPr="009B64C2" w:rsidTr="00CD3BFC">
        <w:tc>
          <w:tcPr>
            <w:tcW w:w="8489" w:type="dxa"/>
            <w:gridSpan w:val="2"/>
            <w:shd w:val="clear" w:color="auto" w:fill="D9D9D9" w:themeFill="background1" w:themeFillShade="D9"/>
            <w:vAlign w:val="center"/>
          </w:tcPr>
          <w:p w:rsidR="00993B2A" w:rsidRPr="009B64C2" w:rsidRDefault="00993B2A" w:rsidP="00CD3BFC">
            <w:pPr>
              <w:jc w:val="both"/>
              <w:rPr>
                <w:rFonts w:asciiTheme="minorHAnsi" w:eastAsia="標楷體" w:hAnsiTheme="minorHAnsi"/>
                <w:szCs w:val="24"/>
              </w:rPr>
            </w:pPr>
            <w:r w:rsidRPr="009B64C2">
              <w:rPr>
                <w:rFonts w:asciiTheme="minorHAnsi" w:eastAsia="標楷體" w:hAnsiTheme="minorHAnsi"/>
                <w:szCs w:val="24"/>
              </w:rPr>
              <w:t>巨環結構</w:t>
            </w:r>
          </w:p>
        </w:tc>
      </w:tr>
      <w:tr w:rsidR="005953F1" w:rsidRPr="009B64C2" w:rsidTr="00CD3BFC">
        <w:tc>
          <w:tcPr>
            <w:tcW w:w="1936" w:type="dxa"/>
          </w:tcPr>
          <w:p w:rsidR="005953F1" w:rsidRPr="009B64C2" w:rsidRDefault="00ED7201" w:rsidP="00B834B3">
            <w:pPr>
              <w:rPr>
                <w:rFonts w:asciiTheme="minorHAnsi" w:eastAsia="標楷體" w:hAnsiTheme="minorHAnsi"/>
                <w:szCs w:val="24"/>
              </w:rPr>
            </w:pPr>
            <w:r w:rsidRPr="009B64C2">
              <w:rPr>
                <w:rFonts w:asciiTheme="minorHAnsi" w:eastAsia="標楷體" w:hAnsiTheme="minorHAnsi"/>
              </w:rPr>
              <w:t>Gadoteric acid</w:t>
            </w:r>
          </w:p>
        </w:tc>
        <w:tc>
          <w:tcPr>
            <w:tcW w:w="6553" w:type="dxa"/>
            <w:vAlign w:val="center"/>
          </w:tcPr>
          <w:p w:rsidR="0079161D" w:rsidRPr="009B64C2" w:rsidRDefault="001D4E3F" w:rsidP="00CD3BFC">
            <w:pPr>
              <w:jc w:val="both"/>
              <w:rPr>
                <w:rFonts w:asciiTheme="minorHAnsi" w:eastAsia="標楷體" w:hAnsiTheme="minorHAnsi"/>
                <w:szCs w:val="24"/>
              </w:rPr>
            </w:pPr>
            <w:r w:rsidRPr="009B64C2">
              <w:rPr>
                <w:rFonts w:asciiTheme="minorHAnsi" w:eastAsia="標楷體" w:hAnsiTheme="minorHAnsi"/>
                <w:szCs w:val="24"/>
              </w:rPr>
              <w:t>用於</w:t>
            </w:r>
            <w:r w:rsidR="00ED7201" w:rsidRPr="009B64C2">
              <w:rPr>
                <w:rFonts w:asciiTheme="minorHAnsi" w:eastAsia="標楷體" w:hAnsiTheme="minorHAnsi"/>
                <w:szCs w:val="24"/>
              </w:rPr>
              <w:t>核磁共振影像：</w:t>
            </w:r>
          </w:p>
          <w:p w:rsidR="005953F1" w:rsidRPr="009B64C2" w:rsidRDefault="00ED7201" w:rsidP="00CD3BFC">
            <w:pPr>
              <w:jc w:val="both"/>
              <w:rPr>
                <w:rFonts w:asciiTheme="minorHAnsi" w:eastAsia="標楷體" w:hAnsiTheme="minorHAnsi"/>
                <w:szCs w:val="24"/>
              </w:rPr>
            </w:pPr>
            <w:r w:rsidRPr="009B64C2">
              <w:rPr>
                <w:rFonts w:asciiTheme="minorHAnsi" w:eastAsia="標楷體" w:hAnsiTheme="minorHAnsi"/>
                <w:szCs w:val="24"/>
              </w:rPr>
              <w:t>神經放射學（</w:t>
            </w:r>
            <w:r w:rsidRPr="009B64C2">
              <w:rPr>
                <w:rFonts w:asciiTheme="minorHAnsi" w:eastAsia="標楷體" w:hAnsiTheme="minorHAnsi"/>
                <w:szCs w:val="24"/>
              </w:rPr>
              <w:t>neuroradiology</w:t>
            </w:r>
            <w:r w:rsidRPr="009B64C2">
              <w:rPr>
                <w:rFonts w:asciiTheme="minorHAnsi" w:eastAsia="標楷體" w:hAnsiTheme="minorHAnsi"/>
                <w:szCs w:val="24"/>
              </w:rPr>
              <w:t>）：脊椎及周圍組織的腫瘤、顱內腫瘤。腹部放射學（</w:t>
            </w:r>
            <w:r w:rsidRPr="009B64C2">
              <w:rPr>
                <w:rFonts w:asciiTheme="minorHAnsi" w:eastAsia="標楷體" w:hAnsiTheme="minorHAnsi"/>
                <w:szCs w:val="24"/>
              </w:rPr>
              <w:t xml:space="preserve">abdominal radiology </w:t>
            </w:r>
            <w:r w:rsidRPr="009B64C2">
              <w:rPr>
                <w:rFonts w:asciiTheme="minorHAnsi" w:eastAsia="標楷體" w:hAnsiTheme="minorHAnsi"/>
                <w:szCs w:val="24"/>
              </w:rPr>
              <w:t>）：原發性及續發性腫瘤。骨及軟組織之原發性腫瘤。用於全身其他部位及血管攝影。</w:t>
            </w:r>
          </w:p>
        </w:tc>
      </w:tr>
      <w:tr w:rsidR="005953F1" w:rsidRPr="009B64C2" w:rsidTr="00CD3BFC">
        <w:tc>
          <w:tcPr>
            <w:tcW w:w="1936" w:type="dxa"/>
          </w:tcPr>
          <w:p w:rsidR="005953F1" w:rsidRPr="009B64C2" w:rsidRDefault="00ED7201" w:rsidP="00B834B3">
            <w:pPr>
              <w:rPr>
                <w:rFonts w:asciiTheme="minorHAnsi" w:eastAsia="標楷體" w:hAnsiTheme="minorHAnsi"/>
                <w:szCs w:val="24"/>
              </w:rPr>
            </w:pPr>
            <w:r w:rsidRPr="009B64C2">
              <w:rPr>
                <w:rFonts w:asciiTheme="minorHAnsi" w:eastAsia="標楷體" w:hAnsiTheme="minorHAnsi"/>
                <w:szCs w:val="24"/>
              </w:rPr>
              <w:t xml:space="preserve">Gadobutrol </w:t>
            </w:r>
          </w:p>
        </w:tc>
        <w:tc>
          <w:tcPr>
            <w:tcW w:w="6553" w:type="dxa"/>
            <w:vAlign w:val="center"/>
          </w:tcPr>
          <w:p w:rsidR="005953F1" w:rsidRPr="009B64C2" w:rsidRDefault="0079161D" w:rsidP="00CD3BFC">
            <w:pPr>
              <w:jc w:val="both"/>
              <w:rPr>
                <w:rFonts w:asciiTheme="minorHAnsi" w:eastAsia="標楷體" w:hAnsiTheme="minorHAnsi"/>
                <w:szCs w:val="24"/>
              </w:rPr>
            </w:pPr>
            <w:r w:rsidRPr="009B64C2">
              <w:rPr>
                <w:rFonts w:asciiTheme="minorHAnsi" w:eastAsia="標楷體" w:hAnsiTheme="minorHAnsi"/>
                <w:szCs w:val="24"/>
              </w:rPr>
              <w:t>顱部和脊髓、乳房、腹部（肝臟）、骨盆（前列腺和子宮）、後腹腔（腎臟）、肢端和肌肉骨骼系統、血管磁振造影（</w:t>
            </w:r>
            <w:r w:rsidRPr="009B64C2">
              <w:rPr>
                <w:rFonts w:asciiTheme="minorHAnsi" w:eastAsia="標楷體" w:hAnsiTheme="minorHAnsi"/>
                <w:szCs w:val="24"/>
              </w:rPr>
              <w:t>MRI</w:t>
            </w:r>
            <w:r w:rsidRPr="009B64C2">
              <w:rPr>
                <w:rFonts w:asciiTheme="minorHAnsi" w:eastAsia="標楷體" w:hAnsiTheme="minorHAnsi"/>
                <w:szCs w:val="24"/>
              </w:rPr>
              <w:t>）增強作用。</w:t>
            </w:r>
          </w:p>
        </w:tc>
      </w:tr>
    </w:tbl>
    <w:p w:rsidR="005953F1" w:rsidRPr="009B64C2" w:rsidRDefault="005953F1" w:rsidP="005953F1">
      <w:pPr>
        <w:rPr>
          <w:rFonts w:asciiTheme="minorHAnsi" w:eastAsia="標楷體" w:hAnsiTheme="minorHAnsi"/>
        </w:rPr>
      </w:pPr>
    </w:p>
    <w:p w:rsidR="005953F1" w:rsidRPr="009B64C2" w:rsidRDefault="005953F1" w:rsidP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p w:rsidR="005953F1" w:rsidRPr="009B64C2" w:rsidRDefault="005953F1">
      <w:pPr>
        <w:rPr>
          <w:rFonts w:asciiTheme="minorHAnsi" w:eastAsia="標楷體" w:hAnsiTheme="minorHAnsi"/>
        </w:rPr>
      </w:pPr>
    </w:p>
    <w:sectPr w:rsidR="005953F1" w:rsidRPr="009B64C2" w:rsidSect="006448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984" w:rsidRDefault="00802984" w:rsidP="003B56BC">
      <w:r>
        <w:separator/>
      </w:r>
    </w:p>
  </w:endnote>
  <w:endnote w:type="continuationSeparator" w:id="0">
    <w:p w:rsidR="00802984" w:rsidRDefault="00802984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984" w:rsidRDefault="00802984" w:rsidP="003B56BC">
      <w:r>
        <w:separator/>
      </w:r>
    </w:p>
  </w:footnote>
  <w:footnote w:type="continuationSeparator" w:id="0">
    <w:p w:rsidR="00802984" w:rsidRDefault="00802984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665"/>
    <w:multiLevelType w:val="hybridMultilevel"/>
    <w:tmpl w:val="6FF8E6B4"/>
    <w:lvl w:ilvl="0" w:tplc="7A962CDA">
      <w:start w:val="99"/>
      <w:numFmt w:val="bullet"/>
      <w:lvlText w:val="◎"/>
      <w:lvlJc w:val="left"/>
      <w:pPr>
        <w:tabs>
          <w:tab w:val="num" w:pos="346"/>
        </w:tabs>
        <w:ind w:left="346" w:hanging="360"/>
      </w:pPr>
      <w:rPr>
        <w:rFonts w:ascii="標楷體" w:eastAsia="標楷體" w:hAnsi="標楷體" w:hint="eastAsia"/>
      </w:rPr>
    </w:lvl>
    <w:lvl w:ilvl="1" w:tplc="43465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986353"/>
    <w:multiLevelType w:val="hybridMultilevel"/>
    <w:tmpl w:val="4DD42348"/>
    <w:lvl w:ilvl="0" w:tplc="7A962CDA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345D2E"/>
    <w:multiLevelType w:val="hybridMultilevel"/>
    <w:tmpl w:val="0E785D7A"/>
    <w:lvl w:ilvl="0" w:tplc="E83257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D0561D"/>
    <w:multiLevelType w:val="hybridMultilevel"/>
    <w:tmpl w:val="D86C454A"/>
    <w:lvl w:ilvl="0" w:tplc="0409000F">
      <w:start w:val="1"/>
      <w:numFmt w:val="decimal"/>
      <w:lvlText w:val="%1."/>
      <w:lvlJc w:val="left"/>
      <w:pPr>
        <w:ind w:left="9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ind w:left="4786" w:hanging="480"/>
      </w:pPr>
    </w:lvl>
  </w:abstractNum>
  <w:abstractNum w:abstractNumId="4" w15:restartNumberingAfterBreak="0">
    <w:nsid w:val="098012C2"/>
    <w:multiLevelType w:val="hybridMultilevel"/>
    <w:tmpl w:val="906C271E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09EE1A3C"/>
    <w:multiLevelType w:val="hybridMultilevel"/>
    <w:tmpl w:val="6A722000"/>
    <w:lvl w:ilvl="0" w:tplc="0409000B">
      <w:start w:val="1"/>
      <w:numFmt w:val="bullet"/>
      <w:lvlText w:val=""/>
      <w:lvlJc w:val="left"/>
      <w:pPr>
        <w:ind w:left="10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8" w:hanging="480"/>
      </w:pPr>
      <w:rPr>
        <w:rFonts w:ascii="Wingdings" w:hAnsi="Wingdings" w:hint="default"/>
      </w:rPr>
    </w:lvl>
  </w:abstractNum>
  <w:abstractNum w:abstractNumId="6" w15:restartNumberingAfterBreak="0">
    <w:nsid w:val="0A1A3AC6"/>
    <w:multiLevelType w:val="hybridMultilevel"/>
    <w:tmpl w:val="EDB851C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A981140"/>
    <w:multiLevelType w:val="hybridMultilevel"/>
    <w:tmpl w:val="BE9289F0"/>
    <w:lvl w:ilvl="0" w:tplc="52E0D3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00520E"/>
    <w:multiLevelType w:val="hybridMultilevel"/>
    <w:tmpl w:val="5F5E109E"/>
    <w:lvl w:ilvl="0" w:tplc="D89EE73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61E34FA"/>
    <w:multiLevelType w:val="multilevel"/>
    <w:tmpl w:val="3280BB2E"/>
    <w:lvl w:ilvl="0">
      <w:start w:val="1"/>
      <w:numFmt w:val="decimal"/>
      <w:lvlText w:val="(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16C06DE5"/>
    <w:multiLevelType w:val="hybridMultilevel"/>
    <w:tmpl w:val="712C18FE"/>
    <w:lvl w:ilvl="0" w:tplc="63DAFAF4">
      <w:start w:val="1"/>
      <w:numFmt w:val="lowerLetter"/>
      <w:lvlText w:val="(%1)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7223523"/>
    <w:multiLevelType w:val="hybridMultilevel"/>
    <w:tmpl w:val="7A36EA60"/>
    <w:lvl w:ilvl="0" w:tplc="2BBE83C2">
      <w:start w:val="1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E0623D"/>
    <w:multiLevelType w:val="hybridMultilevel"/>
    <w:tmpl w:val="0838AB8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1E7F12FD"/>
    <w:multiLevelType w:val="hybridMultilevel"/>
    <w:tmpl w:val="77603F70"/>
    <w:lvl w:ilvl="0" w:tplc="3CB414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802938"/>
    <w:multiLevelType w:val="hybridMultilevel"/>
    <w:tmpl w:val="7DC674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22E849D2"/>
    <w:multiLevelType w:val="hybridMultilevel"/>
    <w:tmpl w:val="A79EDC0E"/>
    <w:lvl w:ilvl="0" w:tplc="D89EE736">
      <w:start w:val="1"/>
      <w:numFmt w:val="decimal"/>
      <w:lvlText w:val="%1."/>
      <w:lvlJc w:val="left"/>
      <w:pPr>
        <w:ind w:left="82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abstractNum w:abstractNumId="16" w15:restartNumberingAfterBreak="0">
    <w:nsid w:val="292F36F3"/>
    <w:multiLevelType w:val="hybridMultilevel"/>
    <w:tmpl w:val="6874B950"/>
    <w:lvl w:ilvl="0" w:tplc="0409000F">
      <w:start w:val="1"/>
      <w:numFmt w:val="decimal"/>
      <w:lvlText w:val="%1."/>
      <w:lvlJc w:val="left"/>
      <w:pPr>
        <w:ind w:left="8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abstractNum w:abstractNumId="17" w15:restartNumberingAfterBreak="0">
    <w:nsid w:val="2A1C3999"/>
    <w:multiLevelType w:val="hybridMultilevel"/>
    <w:tmpl w:val="C9A2E20C"/>
    <w:lvl w:ilvl="0" w:tplc="5164F0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E484CD9"/>
    <w:multiLevelType w:val="hybridMultilevel"/>
    <w:tmpl w:val="CC9860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EF06171"/>
    <w:multiLevelType w:val="hybridMultilevel"/>
    <w:tmpl w:val="0082EE4A"/>
    <w:lvl w:ilvl="0" w:tplc="2BBE83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63ADD"/>
    <w:multiLevelType w:val="hybridMultilevel"/>
    <w:tmpl w:val="ED9E8F82"/>
    <w:lvl w:ilvl="0" w:tplc="D89EE736">
      <w:start w:val="1"/>
      <w:numFmt w:val="decimal"/>
      <w:lvlText w:val="%1."/>
      <w:lvlJc w:val="left"/>
      <w:pPr>
        <w:ind w:left="82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abstractNum w:abstractNumId="21" w15:restartNumberingAfterBreak="0">
    <w:nsid w:val="3B817CA0"/>
    <w:multiLevelType w:val="hybridMultilevel"/>
    <w:tmpl w:val="A192E4B8"/>
    <w:lvl w:ilvl="0" w:tplc="0409000F">
      <w:start w:val="1"/>
      <w:numFmt w:val="decimal"/>
      <w:lvlText w:val="%1."/>
      <w:lvlJc w:val="left"/>
      <w:pPr>
        <w:ind w:left="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22" w15:restartNumberingAfterBreak="0">
    <w:nsid w:val="405368BF"/>
    <w:multiLevelType w:val="hybridMultilevel"/>
    <w:tmpl w:val="440CE59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7A40F3"/>
    <w:multiLevelType w:val="hybridMultilevel"/>
    <w:tmpl w:val="DC346CDC"/>
    <w:lvl w:ilvl="0" w:tplc="E83257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784953"/>
    <w:multiLevelType w:val="hybridMultilevel"/>
    <w:tmpl w:val="839C65F2"/>
    <w:lvl w:ilvl="0" w:tplc="3CB414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EC6A4B"/>
    <w:multiLevelType w:val="hybridMultilevel"/>
    <w:tmpl w:val="04F0A722"/>
    <w:lvl w:ilvl="0" w:tplc="D89EE73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80B2163"/>
    <w:multiLevelType w:val="hybridMultilevel"/>
    <w:tmpl w:val="F47AB16A"/>
    <w:lvl w:ilvl="0" w:tplc="7A962CDA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AC22AE1"/>
    <w:multiLevelType w:val="hybridMultilevel"/>
    <w:tmpl w:val="6E52B178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4C981707"/>
    <w:multiLevelType w:val="hybridMultilevel"/>
    <w:tmpl w:val="D3A03C62"/>
    <w:lvl w:ilvl="0" w:tplc="DE560608">
      <w:start w:val="1"/>
      <w:numFmt w:val="lowerLetter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E9705B"/>
    <w:multiLevelType w:val="hybridMultilevel"/>
    <w:tmpl w:val="638AF91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A4A24FB"/>
    <w:multiLevelType w:val="hybridMultilevel"/>
    <w:tmpl w:val="FE12BE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B4705AB"/>
    <w:multiLevelType w:val="hybridMultilevel"/>
    <w:tmpl w:val="5CD858CA"/>
    <w:lvl w:ilvl="0" w:tplc="990E5D48">
      <w:start w:val="1"/>
      <w:numFmt w:val="decimal"/>
      <w:lvlText w:val="%1."/>
      <w:lvlJc w:val="left"/>
      <w:pPr>
        <w:ind w:left="82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8861A3"/>
    <w:multiLevelType w:val="hybridMultilevel"/>
    <w:tmpl w:val="08087A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F330CE"/>
    <w:multiLevelType w:val="hybridMultilevel"/>
    <w:tmpl w:val="29DE7F68"/>
    <w:lvl w:ilvl="0" w:tplc="0409000B">
      <w:start w:val="1"/>
      <w:numFmt w:val="bullet"/>
      <w:lvlText w:val=""/>
      <w:lvlJc w:val="left"/>
      <w:pPr>
        <w:ind w:left="14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6" w:hanging="480"/>
      </w:pPr>
      <w:rPr>
        <w:rFonts w:ascii="Wingdings" w:hAnsi="Wingdings" w:hint="default"/>
      </w:rPr>
    </w:lvl>
  </w:abstractNum>
  <w:abstractNum w:abstractNumId="34" w15:restartNumberingAfterBreak="0">
    <w:nsid w:val="60126A7F"/>
    <w:multiLevelType w:val="hybridMultilevel"/>
    <w:tmpl w:val="962470CA"/>
    <w:lvl w:ilvl="0" w:tplc="65B08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4760F9"/>
    <w:multiLevelType w:val="hybridMultilevel"/>
    <w:tmpl w:val="EC60A6E6"/>
    <w:lvl w:ilvl="0" w:tplc="7A962CDA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5CF742A"/>
    <w:multiLevelType w:val="hybridMultilevel"/>
    <w:tmpl w:val="A85A2588"/>
    <w:lvl w:ilvl="0" w:tplc="7A962CDA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6B1543E"/>
    <w:multiLevelType w:val="hybridMultilevel"/>
    <w:tmpl w:val="139EF982"/>
    <w:lvl w:ilvl="0" w:tplc="CC74157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AB6370"/>
    <w:multiLevelType w:val="hybridMultilevel"/>
    <w:tmpl w:val="22BE2080"/>
    <w:lvl w:ilvl="0" w:tplc="D89EE736">
      <w:start w:val="1"/>
      <w:numFmt w:val="decimal"/>
      <w:lvlText w:val="%1."/>
      <w:lvlJc w:val="left"/>
      <w:pPr>
        <w:ind w:left="82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abstractNum w:abstractNumId="39" w15:restartNumberingAfterBreak="0">
    <w:nsid w:val="73AD0DED"/>
    <w:multiLevelType w:val="hybridMultilevel"/>
    <w:tmpl w:val="FF72768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494B79"/>
    <w:multiLevelType w:val="hybridMultilevel"/>
    <w:tmpl w:val="5B7AB09E"/>
    <w:lvl w:ilvl="0" w:tplc="CC74157E">
      <w:start w:val="1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41" w15:restartNumberingAfterBreak="0">
    <w:nsid w:val="79383E94"/>
    <w:multiLevelType w:val="hybridMultilevel"/>
    <w:tmpl w:val="CDA6DE76"/>
    <w:lvl w:ilvl="0" w:tplc="E8325788">
      <w:start w:val="1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42" w15:restartNumberingAfterBreak="0">
    <w:nsid w:val="7C03612B"/>
    <w:multiLevelType w:val="hybridMultilevel"/>
    <w:tmpl w:val="D50A9DB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F467457"/>
    <w:multiLevelType w:val="hybridMultilevel"/>
    <w:tmpl w:val="07745C30"/>
    <w:lvl w:ilvl="0" w:tplc="11DEAF3C">
      <w:start w:val="1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38"/>
  </w:num>
  <w:num w:numId="5">
    <w:abstractNumId w:val="30"/>
  </w:num>
  <w:num w:numId="6">
    <w:abstractNumId w:val="12"/>
  </w:num>
  <w:num w:numId="7">
    <w:abstractNumId w:val="22"/>
  </w:num>
  <w:num w:numId="8">
    <w:abstractNumId w:val="25"/>
  </w:num>
  <w:num w:numId="9">
    <w:abstractNumId w:val="27"/>
  </w:num>
  <w:num w:numId="10">
    <w:abstractNumId w:val="5"/>
  </w:num>
  <w:num w:numId="11">
    <w:abstractNumId w:val="14"/>
  </w:num>
  <w:num w:numId="12">
    <w:abstractNumId w:val="42"/>
  </w:num>
  <w:num w:numId="13">
    <w:abstractNumId w:val="6"/>
  </w:num>
  <w:num w:numId="14">
    <w:abstractNumId w:val="29"/>
  </w:num>
  <w:num w:numId="15">
    <w:abstractNumId w:val="18"/>
  </w:num>
  <w:num w:numId="16">
    <w:abstractNumId w:val="39"/>
  </w:num>
  <w:num w:numId="17">
    <w:abstractNumId w:val="20"/>
  </w:num>
  <w:num w:numId="18">
    <w:abstractNumId w:val="15"/>
  </w:num>
  <w:num w:numId="19">
    <w:abstractNumId w:val="16"/>
  </w:num>
  <w:num w:numId="20">
    <w:abstractNumId w:val="35"/>
  </w:num>
  <w:num w:numId="21">
    <w:abstractNumId w:val="36"/>
  </w:num>
  <w:num w:numId="22">
    <w:abstractNumId w:val="23"/>
  </w:num>
  <w:num w:numId="23">
    <w:abstractNumId w:val="41"/>
  </w:num>
  <w:num w:numId="24">
    <w:abstractNumId w:val="2"/>
  </w:num>
  <w:num w:numId="25">
    <w:abstractNumId w:val="37"/>
  </w:num>
  <w:num w:numId="26">
    <w:abstractNumId w:val="40"/>
  </w:num>
  <w:num w:numId="27">
    <w:abstractNumId w:val="31"/>
  </w:num>
  <w:num w:numId="28">
    <w:abstractNumId w:val="7"/>
  </w:num>
  <w:num w:numId="29">
    <w:abstractNumId w:val="17"/>
  </w:num>
  <w:num w:numId="30">
    <w:abstractNumId w:val="1"/>
  </w:num>
  <w:num w:numId="31">
    <w:abstractNumId w:val="11"/>
  </w:num>
  <w:num w:numId="32">
    <w:abstractNumId w:val="19"/>
  </w:num>
  <w:num w:numId="33">
    <w:abstractNumId w:val="24"/>
  </w:num>
  <w:num w:numId="34">
    <w:abstractNumId w:val="13"/>
  </w:num>
  <w:num w:numId="35">
    <w:abstractNumId w:val="26"/>
  </w:num>
  <w:num w:numId="36">
    <w:abstractNumId w:val="43"/>
  </w:num>
  <w:num w:numId="37">
    <w:abstractNumId w:val="21"/>
  </w:num>
  <w:num w:numId="38">
    <w:abstractNumId w:val="3"/>
  </w:num>
  <w:num w:numId="39">
    <w:abstractNumId w:val="33"/>
  </w:num>
  <w:num w:numId="40">
    <w:abstractNumId w:val="4"/>
  </w:num>
  <w:num w:numId="41">
    <w:abstractNumId w:val="28"/>
  </w:num>
  <w:num w:numId="42">
    <w:abstractNumId w:val="10"/>
  </w:num>
  <w:num w:numId="43">
    <w:abstractNumId w:val="34"/>
  </w:num>
  <w:num w:numId="44">
    <w:abstractNumId w:val="32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41"/>
    <w:rsid w:val="0000533D"/>
    <w:rsid w:val="00011906"/>
    <w:rsid w:val="00014990"/>
    <w:rsid w:val="00017171"/>
    <w:rsid w:val="00017AD6"/>
    <w:rsid w:val="00017EE0"/>
    <w:rsid w:val="00032A84"/>
    <w:rsid w:val="0003449A"/>
    <w:rsid w:val="000417A7"/>
    <w:rsid w:val="0004206A"/>
    <w:rsid w:val="0004625C"/>
    <w:rsid w:val="00047251"/>
    <w:rsid w:val="00057BAD"/>
    <w:rsid w:val="0006115A"/>
    <w:rsid w:val="000705C6"/>
    <w:rsid w:val="0008320A"/>
    <w:rsid w:val="000841D6"/>
    <w:rsid w:val="000926E5"/>
    <w:rsid w:val="00093776"/>
    <w:rsid w:val="0009412B"/>
    <w:rsid w:val="00096F70"/>
    <w:rsid w:val="00097928"/>
    <w:rsid w:val="000A3E05"/>
    <w:rsid w:val="000C08CE"/>
    <w:rsid w:val="000C168C"/>
    <w:rsid w:val="000C705F"/>
    <w:rsid w:val="000D0FB2"/>
    <w:rsid w:val="000D5C02"/>
    <w:rsid w:val="000E7CD4"/>
    <w:rsid w:val="000F5BF9"/>
    <w:rsid w:val="001037C9"/>
    <w:rsid w:val="00104870"/>
    <w:rsid w:val="001049E0"/>
    <w:rsid w:val="00105264"/>
    <w:rsid w:val="001164B5"/>
    <w:rsid w:val="00120FB7"/>
    <w:rsid w:val="0013078F"/>
    <w:rsid w:val="00132D97"/>
    <w:rsid w:val="00132F62"/>
    <w:rsid w:val="00133461"/>
    <w:rsid w:val="00136184"/>
    <w:rsid w:val="001365D2"/>
    <w:rsid w:val="001409C3"/>
    <w:rsid w:val="00150360"/>
    <w:rsid w:val="00153858"/>
    <w:rsid w:val="00154725"/>
    <w:rsid w:val="0015736A"/>
    <w:rsid w:val="00162D57"/>
    <w:rsid w:val="00167294"/>
    <w:rsid w:val="00172779"/>
    <w:rsid w:val="0017385B"/>
    <w:rsid w:val="00186FAA"/>
    <w:rsid w:val="001938C0"/>
    <w:rsid w:val="001979BC"/>
    <w:rsid w:val="001A3CD6"/>
    <w:rsid w:val="001B19B5"/>
    <w:rsid w:val="001B2908"/>
    <w:rsid w:val="001B36F2"/>
    <w:rsid w:val="001C5A1B"/>
    <w:rsid w:val="001D43BC"/>
    <w:rsid w:val="001D4E3F"/>
    <w:rsid w:val="001D5D19"/>
    <w:rsid w:val="001D6C93"/>
    <w:rsid w:val="001D789A"/>
    <w:rsid w:val="001E4113"/>
    <w:rsid w:val="001E4D43"/>
    <w:rsid w:val="001E6F73"/>
    <w:rsid w:val="001E6F88"/>
    <w:rsid w:val="001F2486"/>
    <w:rsid w:val="00203113"/>
    <w:rsid w:val="00211E09"/>
    <w:rsid w:val="0021575E"/>
    <w:rsid w:val="00215F9D"/>
    <w:rsid w:val="002163F2"/>
    <w:rsid w:val="00233E51"/>
    <w:rsid w:val="00235F72"/>
    <w:rsid w:val="00240B54"/>
    <w:rsid w:val="00241556"/>
    <w:rsid w:val="002420D6"/>
    <w:rsid w:val="002462E9"/>
    <w:rsid w:val="00246966"/>
    <w:rsid w:val="0025164B"/>
    <w:rsid w:val="00252DD4"/>
    <w:rsid w:val="00261A68"/>
    <w:rsid w:val="002647F8"/>
    <w:rsid w:val="0027252E"/>
    <w:rsid w:val="0027402D"/>
    <w:rsid w:val="0027776F"/>
    <w:rsid w:val="002853C3"/>
    <w:rsid w:val="00285934"/>
    <w:rsid w:val="002A2CDB"/>
    <w:rsid w:val="002A3E0E"/>
    <w:rsid w:val="002C5626"/>
    <w:rsid w:val="002D3FC9"/>
    <w:rsid w:val="002F036F"/>
    <w:rsid w:val="0030181F"/>
    <w:rsid w:val="003025BF"/>
    <w:rsid w:val="00306415"/>
    <w:rsid w:val="003209F3"/>
    <w:rsid w:val="00336369"/>
    <w:rsid w:val="00344761"/>
    <w:rsid w:val="00346490"/>
    <w:rsid w:val="003577D0"/>
    <w:rsid w:val="00357EF8"/>
    <w:rsid w:val="003708D0"/>
    <w:rsid w:val="00370EB4"/>
    <w:rsid w:val="00380E14"/>
    <w:rsid w:val="003850C5"/>
    <w:rsid w:val="00387C17"/>
    <w:rsid w:val="00391418"/>
    <w:rsid w:val="0039733F"/>
    <w:rsid w:val="003A7DAD"/>
    <w:rsid w:val="003B1B4C"/>
    <w:rsid w:val="003B36A0"/>
    <w:rsid w:val="003B53BF"/>
    <w:rsid w:val="003B56BC"/>
    <w:rsid w:val="003C0E64"/>
    <w:rsid w:val="003C54B8"/>
    <w:rsid w:val="003F3929"/>
    <w:rsid w:val="00400BCB"/>
    <w:rsid w:val="004155D6"/>
    <w:rsid w:val="00416206"/>
    <w:rsid w:val="00423C80"/>
    <w:rsid w:val="00431A54"/>
    <w:rsid w:val="00442988"/>
    <w:rsid w:val="00443436"/>
    <w:rsid w:val="004518A5"/>
    <w:rsid w:val="004559E9"/>
    <w:rsid w:val="00470B91"/>
    <w:rsid w:val="0047128D"/>
    <w:rsid w:val="00491E85"/>
    <w:rsid w:val="00494350"/>
    <w:rsid w:val="004948DF"/>
    <w:rsid w:val="00494B0B"/>
    <w:rsid w:val="004956BA"/>
    <w:rsid w:val="004A2826"/>
    <w:rsid w:val="004E268E"/>
    <w:rsid w:val="004E50EE"/>
    <w:rsid w:val="004F2C3A"/>
    <w:rsid w:val="004F2FA5"/>
    <w:rsid w:val="00513748"/>
    <w:rsid w:val="00525106"/>
    <w:rsid w:val="00525D2E"/>
    <w:rsid w:val="00541C57"/>
    <w:rsid w:val="00542A08"/>
    <w:rsid w:val="0054364B"/>
    <w:rsid w:val="005441B0"/>
    <w:rsid w:val="00544659"/>
    <w:rsid w:val="0055218E"/>
    <w:rsid w:val="00567D81"/>
    <w:rsid w:val="00570194"/>
    <w:rsid w:val="00573145"/>
    <w:rsid w:val="0057706B"/>
    <w:rsid w:val="00580DAA"/>
    <w:rsid w:val="00586F62"/>
    <w:rsid w:val="00590BF6"/>
    <w:rsid w:val="00594DDE"/>
    <w:rsid w:val="005953F1"/>
    <w:rsid w:val="005C1444"/>
    <w:rsid w:val="005E3BF1"/>
    <w:rsid w:val="005F6D8A"/>
    <w:rsid w:val="00610C41"/>
    <w:rsid w:val="00621754"/>
    <w:rsid w:val="00631223"/>
    <w:rsid w:val="00631BCC"/>
    <w:rsid w:val="00643FBC"/>
    <w:rsid w:val="00644664"/>
    <w:rsid w:val="006448FD"/>
    <w:rsid w:val="006457C5"/>
    <w:rsid w:val="00650041"/>
    <w:rsid w:val="0065523C"/>
    <w:rsid w:val="00664B6E"/>
    <w:rsid w:val="00670780"/>
    <w:rsid w:val="006777C3"/>
    <w:rsid w:val="00685D96"/>
    <w:rsid w:val="00692E10"/>
    <w:rsid w:val="006A58A3"/>
    <w:rsid w:val="006A71AD"/>
    <w:rsid w:val="006B2E8F"/>
    <w:rsid w:val="006C1F4B"/>
    <w:rsid w:val="006C234F"/>
    <w:rsid w:val="006C45B7"/>
    <w:rsid w:val="006C47BE"/>
    <w:rsid w:val="006C6FC3"/>
    <w:rsid w:val="006D00E2"/>
    <w:rsid w:val="006D08B8"/>
    <w:rsid w:val="006D4051"/>
    <w:rsid w:val="006E06D5"/>
    <w:rsid w:val="006E3EFC"/>
    <w:rsid w:val="006E572E"/>
    <w:rsid w:val="006F3C80"/>
    <w:rsid w:val="00701E62"/>
    <w:rsid w:val="00703733"/>
    <w:rsid w:val="00705769"/>
    <w:rsid w:val="00711D0C"/>
    <w:rsid w:val="007144AA"/>
    <w:rsid w:val="00716EF9"/>
    <w:rsid w:val="0071741C"/>
    <w:rsid w:val="007234B7"/>
    <w:rsid w:val="00724B56"/>
    <w:rsid w:val="00747215"/>
    <w:rsid w:val="00747CC6"/>
    <w:rsid w:val="00750755"/>
    <w:rsid w:val="007765B3"/>
    <w:rsid w:val="007765ED"/>
    <w:rsid w:val="0077765F"/>
    <w:rsid w:val="00790EA3"/>
    <w:rsid w:val="0079161D"/>
    <w:rsid w:val="00795BF3"/>
    <w:rsid w:val="007A358C"/>
    <w:rsid w:val="007A4CAF"/>
    <w:rsid w:val="007B1E92"/>
    <w:rsid w:val="007B7240"/>
    <w:rsid w:val="007B79BB"/>
    <w:rsid w:val="007C1262"/>
    <w:rsid w:val="007D1DF8"/>
    <w:rsid w:val="007D2584"/>
    <w:rsid w:val="007D48EB"/>
    <w:rsid w:val="007D7314"/>
    <w:rsid w:val="007E367A"/>
    <w:rsid w:val="007F18FF"/>
    <w:rsid w:val="007F5278"/>
    <w:rsid w:val="007F741F"/>
    <w:rsid w:val="00802984"/>
    <w:rsid w:val="00802B67"/>
    <w:rsid w:val="0081007B"/>
    <w:rsid w:val="00810854"/>
    <w:rsid w:val="00812A01"/>
    <w:rsid w:val="008134C6"/>
    <w:rsid w:val="00820613"/>
    <w:rsid w:val="0082228C"/>
    <w:rsid w:val="008279C2"/>
    <w:rsid w:val="00837B60"/>
    <w:rsid w:val="008430D0"/>
    <w:rsid w:val="0084741A"/>
    <w:rsid w:val="00863734"/>
    <w:rsid w:val="00871C9F"/>
    <w:rsid w:val="00875911"/>
    <w:rsid w:val="0088024A"/>
    <w:rsid w:val="008967C1"/>
    <w:rsid w:val="008B03BD"/>
    <w:rsid w:val="008B114C"/>
    <w:rsid w:val="008B23E1"/>
    <w:rsid w:val="008C2140"/>
    <w:rsid w:val="008D085F"/>
    <w:rsid w:val="008D31E3"/>
    <w:rsid w:val="008D3ECD"/>
    <w:rsid w:val="008E4B76"/>
    <w:rsid w:val="008F7A97"/>
    <w:rsid w:val="008F7FAA"/>
    <w:rsid w:val="00900DF0"/>
    <w:rsid w:val="00901209"/>
    <w:rsid w:val="00906275"/>
    <w:rsid w:val="009071F8"/>
    <w:rsid w:val="00913500"/>
    <w:rsid w:val="00913E22"/>
    <w:rsid w:val="00931790"/>
    <w:rsid w:val="009321C3"/>
    <w:rsid w:val="0093272F"/>
    <w:rsid w:val="009424B6"/>
    <w:rsid w:val="00943722"/>
    <w:rsid w:val="009509CA"/>
    <w:rsid w:val="00953949"/>
    <w:rsid w:val="009559DE"/>
    <w:rsid w:val="00960C09"/>
    <w:rsid w:val="00961207"/>
    <w:rsid w:val="00963793"/>
    <w:rsid w:val="00967C4B"/>
    <w:rsid w:val="0097283E"/>
    <w:rsid w:val="00972E63"/>
    <w:rsid w:val="00983D0B"/>
    <w:rsid w:val="009879B8"/>
    <w:rsid w:val="00993B2A"/>
    <w:rsid w:val="0099457C"/>
    <w:rsid w:val="009945E2"/>
    <w:rsid w:val="00996A79"/>
    <w:rsid w:val="009A332B"/>
    <w:rsid w:val="009A4577"/>
    <w:rsid w:val="009A4704"/>
    <w:rsid w:val="009A7741"/>
    <w:rsid w:val="009B4394"/>
    <w:rsid w:val="009B492B"/>
    <w:rsid w:val="009B64C2"/>
    <w:rsid w:val="009C23A4"/>
    <w:rsid w:val="009C71CB"/>
    <w:rsid w:val="009D0781"/>
    <w:rsid w:val="009D556C"/>
    <w:rsid w:val="009F0BA6"/>
    <w:rsid w:val="009F1ABC"/>
    <w:rsid w:val="009F7A0A"/>
    <w:rsid w:val="00A0525C"/>
    <w:rsid w:val="00A1597B"/>
    <w:rsid w:val="00A1749B"/>
    <w:rsid w:val="00A17684"/>
    <w:rsid w:val="00A17CDC"/>
    <w:rsid w:val="00A209CF"/>
    <w:rsid w:val="00A27030"/>
    <w:rsid w:val="00A30C4F"/>
    <w:rsid w:val="00A33080"/>
    <w:rsid w:val="00A43DE1"/>
    <w:rsid w:val="00A474AB"/>
    <w:rsid w:val="00A54F2F"/>
    <w:rsid w:val="00A608A0"/>
    <w:rsid w:val="00A60A53"/>
    <w:rsid w:val="00A632BA"/>
    <w:rsid w:val="00A64165"/>
    <w:rsid w:val="00A84D58"/>
    <w:rsid w:val="00A854A8"/>
    <w:rsid w:val="00A93D74"/>
    <w:rsid w:val="00A948FB"/>
    <w:rsid w:val="00AA1DF8"/>
    <w:rsid w:val="00AB1B07"/>
    <w:rsid w:val="00AB378A"/>
    <w:rsid w:val="00AC679D"/>
    <w:rsid w:val="00AC6CDC"/>
    <w:rsid w:val="00AD15A1"/>
    <w:rsid w:val="00AD6ED4"/>
    <w:rsid w:val="00AE1098"/>
    <w:rsid w:val="00AF3E85"/>
    <w:rsid w:val="00AF576F"/>
    <w:rsid w:val="00B20CB2"/>
    <w:rsid w:val="00B21BD1"/>
    <w:rsid w:val="00B26316"/>
    <w:rsid w:val="00B32C39"/>
    <w:rsid w:val="00B36263"/>
    <w:rsid w:val="00B37795"/>
    <w:rsid w:val="00B40E3E"/>
    <w:rsid w:val="00B41CFE"/>
    <w:rsid w:val="00B515DE"/>
    <w:rsid w:val="00B57AEE"/>
    <w:rsid w:val="00B64D74"/>
    <w:rsid w:val="00B65E68"/>
    <w:rsid w:val="00B65FF0"/>
    <w:rsid w:val="00B70E1C"/>
    <w:rsid w:val="00B70E54"/>
    <w:rsid w:val="00B74E5C"/>
    <w:rsid w:val="00B80624"/>
    <w:rsid w:val="00B8469B"/>
    <w:rsid w:val="00B90899"/>
    <w:rsid w:val="00B91FC0"/>
    <w:rsid w:val="00B9319A"/>
    <w:rsid w:val="00B970D4"/>
    <w:rsid w:val="00BB1930"/>
    <w:rsid w:val="00BB77E5"/>
    <w:rsid w:val="00BE5D4D"/>
    <w:rsid w:val="00BE65D7"/>
    <w:rsid w:val="00BE7D96"/>
    <w:rsid w:val="00BF31DF"/>
    <w:rsid w:val="00C07109"/>
    <w:rsid w:val="00C0737A"/>
    <w:rsid w:val="00C109F4"/>
    <w:rsid w:val="00C10AA8"/>
    <w:rsid w:val="00C1197C"/>
    <w:rsid w:val="00C1455D"/>
    <w:rsid w:val="00C14BC0"/>
    <w:rsid w:val="00C15BDF"/>
    <w:rsid w:val="00C2471C"/>
    <w:rsid w:val="00C32212"/>
    <w:rsid w:val="00C46FE1"/>
    <w:rsid w:val="00C53905"/>
    <w:rsid w:val="00C56B68"/>
    <w:rsid w:val="00C61237"/>
    <w:rsid w:val="00C72E85"/>
    <w:rsid w:val="00C859E3"/>
    <w:rsid w:val="00C870E0"/>
    <w:rsid w:val="00C92D21"/>
    <w:rsid w:val="00C93D33"/>
    <w:rsid w:val="00C96599"/>
    <w:rsid w:val="00CA1255"/>
    <w:rsid w:val="00CA3983"/>
    <w:rsid w:val="00CA62BB"/>
    <w:rsid w:val="00CB2324"/>
    <w:rsid w:val="00CB72D5"/>
    <w:rsid w:val="00CC5516"/>
    <w:rsid w:val="00CD3091"/>
    <w:rsid w:val="00CD3BFC"/>
    <w:rsid w:val="00CD79D6"/>
    <w:rsid w:val="00CE6C8C"/>
    <w:rsid w:val="00CF5892"/>
    <w:rsid w:val="00D036AF"/>
    <w:rsid w:val="00D16650"/>
    <w:rsid w:val="00D1677B"/>
    <w:rsid w:val="00D31502"/>
    <w:rsid w:val="00D3611F"/>
    <w:rsid w:val="00D43E77"/>
    <w:rsid w:val="00D47A6A"/>
    <w:rsid w:val="00D55E01"/>
    <w:rsid w:val="00D60BC9"/>
    <w:rsid w:val="00D7135A"/>
    <w:rsid w:val="00D7317D"/>
    <w:rsid w:val="00D751DC"/>
    <w:rsid w:val="00D81E61"/>
    <w:rsid w:val="00D91ABB"/>
    <w:rsid w:val="00D96ABC"/>
    <w:rsid w:val="00DB0099"/>
    <w:rsid w:val="00DC2F9A"/>
    <w:rsid w:val="00DD0BF4"/>
    <w:rsid w:val="00DD5180"/>
    <w:rsid w:val="00DE62E8"/>
    <w:rsid w:val="00DF50AE"/>
    <w:rsid w:val="00DF659A"/>
    <w:rsid w:val="00E0088E"/>
    <w:rsid w:val="00E00E2D"/>
    <w:rsid w:val="00E01BDE"/>
    <w:rsid w:val="00E03233"/>
    <w:rsid w:val="00E033CE"/>
    <w:rsid w:val="00E05A65"/>
    <w:rsid w:val="00E15128"/>
    <w:rsid w:val="00E21A89"/>
    <w:rsid w:val="00E26579"/>
    <w:rsid w:val="00E3531E"/>
    <w:rsid w:val="00E42211"/>
    <w:rsid w:val="00E43180"/>
    <w:rsid w:val="00E53CAC"/>
    <w:rsid w:val="00E62ECE"/>
    <w:rsid w:val="00E64C51"/>
    <w:rsid w:val="00E65DB7"/>
    <w:rsid w:val="00E66F7E"/>
    <w:rsid w:val="00E74E4C"/>
    <w:rsid w:val="00E83C1D"/>
    <w:rsid w:val="00E855E2"/>
    <w:rsid w:val="00E86FAA"/>
    <w:rsid w:val="00E91426"/>
    <w:rsid w:val="00EA06DF"/>
    <w:rsid w:val="00EA39AB"/>
    <w:rsid w:val="00EB3621"/>
    <w:rsid w:val="00EB5E0A"/>
    <w:rsid w:val="00ED2574"/>
    <w:rsid w:val="00ED2BBF"/>
    <w:rsid w:val="00ED2F93"/>
    <w:rsid w:val="00ED412A"/>
    <w:rsid w:val="00ED6CFF"/>
    <w:rsid w:val="00ED7201"/>
    <w:rsid w:val="00EE03DA"/>
    <w:rsid w:val="00EE3CB2"/>
    <w:rsid w:val="00EF0065"/>
    <w:rsid w:val="00EF0BC7"/>
    <w:rsid w:val="00EF17EF"/>
    <w:rsid w:val="00F01E23"/>
    <w:rsid w:val="00F02F8D"/>
    <w:rsid w:val="00F12DD3"/>
    <w:rsid w:val="00F15C83"/>
    <w:rsid w:val="00F200AF"/>
    <w:rsid w:val="00F21086"/>
    <w:rsid w:val="00F2152A"/>
    <w:rsid w:val="00F24E6E"/>
    <w:rsid w:val="00F354F2"/>
    <w:rsid w:val="00F3622B"/>
    <w:rsid w:val="00F37403"/>
    <w:rsid w:val="00F5040F"/>
    <w:rsid w:val="00F55BB2"/>
    <w:rsid w:val="00F612DB"/>
    <w:rsid w:val="00F61338"/>
    <w:rsid w:val="00F80177"/>
    <w:rsid w:val="00F806E9"/>
    <w:rsid w:val="00F81A18"/>
    <w:rsid w:val="00F86DA7"/>
    <w:rsid w:val="00F903D6"/>
    <w:rsid w:val="00FA7939"/>
    <w:rsid w:val="00FC31EB"/>
    <w:rsid w:val="00FD18AB"/>
    <w:rsid w:val="00FD33E8"/>
    <w:rsid w:val="00FD4F53"/>
    <w:rsid w:val="00FD7F59"/>
    <w:rsid w:val="00FF0CE2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991F077-395B-409A-9131-2A6D589D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99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table" w:styleId="ad">
    <w:name w:val="Table Grid"/>
    <w:basedOn w:val="a1"/>
    <w:locked/>
    <w:rsid w:val="0059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B5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B5E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r.fda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a.europa.eu/ema/index.jsp?curl=pages/news_and_events/news/2017/07/news_detail_002780.jsp&amp;mid=WC0b01ac058004d5c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藥品安全資訊風險溝通表final版.dotx</Template>
  <TotalTime>0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胡雅姿</cp:lastModifiedBy>
  <cp:revision>2</cp:revision>
  <cp:lastPrinted>2017-07-31T06:24:00Z</cp:lastPrinted>
  <dcterms:created xsi:type="dcterms:W3CDTF">2017-11-13T10:21:00Z</dcterms:created>
  <dcterms:modified xsi:type="dcterms:W3CDTF">2017-11-13T10:21:00Z</dcterms:modified>
</cp:coreProperties>
</file>