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7457"/>
      </w:tblGrid>
      <w:tr w:rsidR="00211E09" w:rsidRPr="00136184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F5040F" w:rsidRDefault="002D3A96" w:rsidP="00F5040F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bookmarkStart w:id="0" w:name="_GoBack"/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Clarithromycin</w:t>
            </w:r>
            <w:r w:rsidR="003B36A0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成分</w:t>
            </w:r>
            <w:r w:rsidR="00C1197C" w:rsidRPr="00F5040F">
              <w:rPr>
                <w:rFonts w:ascii="Times New Roman" w:eastAsia="標楷體" w:hAnsi="Times New Roman" w:cs="Times New Roman"/>
                <w:sz w:val="36"/>
                <w:szCs w:val="36"/>
              </w:rPr>
              <w:t>藥品</w:t>
            </w:r>
            <w:r w:rsidR="00B32C39" w:rsidRPr="00F5040F">
              <w:rPr>
                <w:rFonts w:ascii="Times New Roman" w:eastAsia="標楷體" w:hAnsi="標楷體" w:cs="Times New Roman"/>
                <w:sz w:val="36"/>
                <w:szCs w:val="36"/>
              </w:rPr>
              <w:t>安全資訊風險溝通表</w:t>
            </w:r>
            <w:bookmarkEnd w:id="0"/>
          </w:p>
        </w:tc>
      </w:tr>
      <w:tr w:rsidR="00211E09" w:rsidRPr="00136184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A27030" w:rsidRDefault="00211E09" w:rsidP="009A332B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A2703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Pr="00A27030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日期：</w:t>
            </w:r>
            <w:r w:rsidR="0037213D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107</w:t>
            </w:r>
            <w:r w:rsidR="009A332B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/</w:t>
            </w:r>
            <w:r w:rsidR="0037213D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3</w:t>
            </w:r>
          </w:p>
        </w:tc>
      </w:tr>
      <w:tr w:rsidR="00211E09" w:rsidRPr="00136184" w:rsidTr="00414211">
        <w:trPr>
          <w:trHeight w:val="333"/>
          <w:jc w:val="center"/>
        </w:trPr>
        <w:tc>
          <w:tcPr>
            <w:tcW w:w="2272" w:type="dxa"/>
            <w:vAlign w:val="center"/>
          </w:tcPr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藥品成分</w:t>
            </w:r>
          </w:p>
        </w:tc>
        <w:tc>
          <w:tcPr>
            <w:tcW w:w="7457" w:type="dxa"/>
          </w:tcPr>
          <w:p w:rsidR="00211E09" w:rsidRPr="00C96599" w:rsidRDefault="002D3A96" w:rsidP="009B492B">
            <w:pPr>
              <w:pStyle w:val="1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Clarithromycin</w:t>
            </w:r>
          </w:p>
        </w:tc>
      </w:tr>
      <w:tr w:rsidR="00211E09" w:rsidRPr="00136184" w:rsidTr="00414211">
        <w:trPr>
          <w:trHeight w:val="333"/>
          <w:jc w:val="center"/>
        </w:trPr>
        <w:tc>
          <w:tcPr>
            <w:tcW w:w="2272" w:type="dxa"/>
            <w:vAlign w:val="center"/>
          </w:tcPr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藥品名稱</w:t>
            </w:r>
          </w:p>
          <w:p w:rsidR="00211E09" w:rsidRPr="00A27030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A27030">
              <w:rPr>
                <w:rFonts w:ascii="Times New Roman" w:eastAsia="標楷體" w:hAnsi="標楷體" w:hint="eastAsia"/>
              </w:rPr>
              <w:t>及許可證字號</w:t>
            </w:r>
          </w:p>
        </w:tc>
        <w:tc>
          <w:tcPr>
            <w:tcW w:w="7457" w:type="dxa"/>
          </w:tcPr>
          <w:p w:rsidR="006A71AD" w:rsidRDefault="006A71AD" w:rsidP="006A71AD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31790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衛生福利部核准含</w:t>
            </w:r>
            <w:r w:rsidR="004340C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clarithromycin</w:t>
            </w:r>
            <w:r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成分</w:t>
            </w:r>
            <w:r w:rsidRPr="00931790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藥品製劑許可證共</w:t>
            </w:r>
            <w:r w:rsidR="004340CB">
              <w:rPr>
                <w:rFonts w:ascii="Times New Roman" w:eastAsia="標楷體" w:hAnsi="標楷體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19</w:t>
            </w:r>
            <w:r w:rsidRPr="00931790">
              <w:rPr>
                <w:rFonts w:ascii="Times New Roman" w:eastAsia="標楷體" w:hAnsi="標楷體" w:cs="Times New Roman"/>
                <w:b w:val="0"/>
                <w:bCs w:val="0"/>
                <w:color w:val="000000" w:themeColor="text1"/>
                <w:sz w:val="24"/>
                <w:szCs w:val="24"/>
              </w:rPr>
              <w:t>張。網址：</w:t>
            </w:r>
          </w:p>
          <w:p w:rsidR="00BF31DF" w:rsidRPr="004340CB" w:rsidRDefault="00B23FD5" w:rsidP="00C96599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8" w:history="1">
              <w:r w:rsidR="00EB7720" w:rsidRPr="000E0E73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http://www.fda.gov.tw/MLMS/H0001.aspx</w:t>
              </w:r>
            </w:hyperlink>
            <w:r w:rsidR="00EB7720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1E09" w:rsidRPr="00136184" w:rsidTr="00414211">
        <w:trPr>
          <w:trHeight w:val="333"/>
          <w:jc w:val="center"/>
        </w:trPr>
        <w:tc>
          <w:tcPr>
            <w:tcW w:w="2272" w:type="dxa"/>
            <w:vAlign w:val="center"/>
          </w:tcPr>
          <w:p w:rsidR="00211E09" w:rsidRPr="00621754" w:rsidRDefault="00211E09" w:rsidP="009424B6">
            <w:pPr>
              <w:jc w:val="center"/>
              <w:rPr>
                <w:rFonts w:ascii="Times New Roman" w:eastAsia="標楷體" w:hAnsi="Times New Roman"/>
              </w:rPr>
            </w:pPr>
            <w:r w:rsidRPr="00621754">
              <w:rPr>
                <w:rFonts w:ascii="Times New Roman" w:eastAsia="標楷體" w:hAnsi="標楷體" w:hint="eastAsia"/>
                <w:color w:val="000000"/>
              </w:rPr>
              <w:t>適應症</w:t>
            </w:r>
          </w:p>
        </w:tc>
        <w:tc>
          <w:tcPr>
            <w:tcW w:w="7457" w:type="dxa"/>
          </w:tcPr>
          <w:p w:rsidR="00E855E2" w:rsidRPr="00BE65D7" w:rsidRDefault="003F1634" w:rsidP="003F1634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F16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上、下呼吸道有感受性細菌所引起之感染症。可與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omeprazole</w:t>
            </w:r>
            <w:r w:rsidRPr="003F16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併用治療與幽門螺旋桿菌</w:t>
            </w:r>
            <w:r w:rsidRPr="003F16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(H. PYLORI)</w:t>
            </w:r>
            <w:r w:rsidRPr="003F16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有關之十二指腸潰瘍。</w:t>
            </w:r>
          </w:p>
        </w:tc>
      </w:tr>
      <w:tr w:rsidR="00211E09" w:rsidRPr="00A1210D" w:rsidTr="00414211">
        <w:trPr>
          <w:jc w:val="center"/>
        </w:trPr>
        <w:tc>
          <w:tcPr>
            <w:tcW w:w="2272" w:type="dxa"/>
            <w:vAlign w:val="center"/>
          </w:tcPr>
          <w:p w:rsidR="00211E09" w:rsidRDefault="00211E09" w:rsidP="009424B6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藥理作用機轉</w:t>
            </w:r>
          </w:p>
        </w:tc>
        <w:tc>
          <w:tcPr>
            <w:tcW w:w="7457" w:type="dxa"/>
          </w:tcPr>
          <w:p w:rsidR="00C870E0" w:rsidRPr="0006115A" w:rsidRDefault="003F1634" w:rsidP="00C60B0D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Clarithromycin</w:t>
            </w:r>
            <w:r w:rsidR="00C60B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藉由與感受性</w:t>
            </w:r>
            <w:r w:rsidR="009C4EA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細菌的</w:t>
            </w:r>
            <w:r w:rsidR="009C4EA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50S</w:t>
            </w:r>
            <w:r w:rsidR="00A121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核醣體</w:t>
            </w:r>
            <w:r w:rsidR="00C60B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次單位結合</w:t>
            </w:r>
            <w:r w:rsidR="00A121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</w:t>
            </w:r>
            <w:r w:rsidR="00C60B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</w:t>
            </w:r>
            <w:r w:rsidR="00A121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抑制蛋白質</w:t>
            </w:r>
            <w:r w:rsidR="00C60B0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的合成來發揮其對抗細菌的作用</w:t>
            </w:r>
            <w:r w:rsidR="00E2000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11E09" w:rsidRPr="00136184" w:rsidTr="00414211">
        <w:trPr>
          <w:cantSplit/>
          <w:trHeight w:val="896"/>
          <w:jc w:val="center"/>
        </w:trPr>
        <w:tc>
          <w:tcPr>
            <w:tcW w:w="2272" w:type="dxa"/>
            <w:vAlign w:val="center"/>
          </w:tcPr>
          <w:p w:rsidR="00211E09" w:rsidRPr="00C859E3" w:rsidRDefault="00211E09" w:rsidP="009424B6">
            <w:pPr>
              <w:jc w:val="center"/>
              <w:rPr>
                <w:rFonts w:ascii="Times New Roman" w:eastAsia="標楷體" w:hAnsi="標楷體"/>
                <w:color w:val="000000"/>
              </w:rPr>
            </w:pPr>
            <w:r w:rsidRPr="00C859E3">
              <w:rPr>
                <w:rFonts w:ascii="Times New Roman" w:eastAsia="標楷體" w:hAnsi="標楷體" w:hint="eastAsia"/>
                <w:color w:val="000000"/>
              </w:rPr>
              <w:t>訊息緣由</w:t>
            </w:r>
          </w:p>
        </w:tc>
        <w:tc>
          <w:tcPr>
            <w:tcW w:w="7457" w:type="dxa"/>
          </w:tcPr>
          <w:p w:rsidR="00960C09" w:rsidRDefault="00B52D38" w:rsidP="000E00B4">
            <w:pPr>
              <w:ind w:left="17" w:firstLineChars="7" w:firstLine="1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2018/2/22</w:t>
            </w:r>
            <w:r w:rsidR="002C5F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美國</w:t>
            </w:r>
            <w:r w:rsidR="002C5F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FDA</w:t>
            </w:r>
            <w:r w:rsidR="005102A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發布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clarithromycin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成分藥品使用於有心臟疾病之病人</w:t>
            </w:r>
            <w:r w:rsidR="00EB772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可能會增加心臟疾病或</w:t>
            </w:r>
            <w:r w:rsidR="00A5258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死亡</w:t>
            </w:r>
            <w:r w:rsidR="007040E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</w:t>
            </w:r>
            <w:r w:rsidR="00A5258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風險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之安全性資訊</w:t>
            </w:r>
            <w:r w:rsidR="000E00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網址：</w:t>
            </w:r>
          </w:p>
          <w:p w:rsidR="00091597" w:rsidRPr="00960C09" w:rsidRDefault="00B23FD5" w:rsidP="000E00B4">
            <w:pPr>
              <w:ind w:left="17" w:firstLineChars="7" w:firstLine="1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hyperlink r:id="rId9" w:history="1">
              <w:r w:rsidR="00EB7720" w:rsidRPr="000E0E73">
                <w:rPr>
                  <w:rStyle w:val="ab"/>
                  <w:rFonts w:ascii="Times New Roman" w:eastAsia="標楷體" w:hAnsi="Times New Roman"/>
                  <w:szCs w:val="24"/>
                </w:rPr>
                <w:t>https://www.fda.gov/Safety/MedWatch/SafetyInformation/SafetyAlertsforHumanMedicalProducts/ucm597862.htm</w:t>
              </w:r>
            </w:hyperlink>
            <w:r w:rsidR="00EB772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C10AA8" w:rsidRPr="00136184" w:rsidTr="00414211">
        <w:trPr>
          <w:jc w:val="center"/>
        </w:trPr>
        <w:tc>
          <w:tcPr>
            <w:tcW w:w="2272" w:type="dxa"/>
            <w:vAlign w:val="center"/>
          </w:tcPr>
          <w:p w:rsidR="00C10AA8" w:rsidRPr="00B57AEE" w:rsidRDefault="00C10AA8" w:rsidP="009424B6">
            <w:pPr>
              <w:jc w:val="center"/>
              <w:rPr>
                <w:rFonts w:ascii="Times New Roman" w:eastAsia="標楷體" w:hAnsi="Times New Roman"/>
              </w:rPr>
            </w:pPr>
            <w:r w:rsidRPr="00B57AEE">
              <w:rPr>
                <w:rFonts w:ascii="Times New Roman" w:eastAsia="標楷體" w:hAnsi="標楷體" w:hint="eastAsia"/>
              </w:rPr>
              <w:t>藥品安全有關資訊分析及描述</w:t>
            </w:r>
          </w:p>
        </w:tc>
        <w:tc>
          <w:tcPr>
            <w:tcW w:w="7457" w:type="dxa"/>
          </w:tcPr>
          <w:p w:rsidR="0091247A" w:rsidRDefault="005D4902" w:rsidP="0091247A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 w:line="400" w:lineRule="exact"/>
              <w:rPr>
                <w:rFonts w:ascii="Times New Roman" w:eastAsia="標楷體" w:hAnsi="標楷體" w:cs="Times New Roman"/>
                <w:bCs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一項</w:t>
            </w:r>
            <w:r w:rsidR="007040E0" w:rsidRPr="007040E0">
              <w:rPr>
                <w:rFonts w:ascii="Times New Roman" w:eastAsia="標楷體" w:hAnsi="標楷體" w:cs="Times New Roman" w:hint="eastAsia"/>
                <w:bCs/>
                <w:color w:val="000000"/>
              </w:rPr>
              <w:t>大型</w:t>
            </w:r>
            <w:r w:rsidR="00892128">
              <w:rPr>
                <w:rFonts w:ascii="Times New Roman" w:eastAsia="標楷體" w:hAnsi="標楷體" w:cs="Times New Roman" w:hint="eastAsia"/>
                <w:bCs/>
                <w:color w:val="000000"/>
              </w:rPr>
              <w:t>前瞻性隨機分派</w:t>
            </w:r>
            <w:r w:rsidR="007040E0">
              <w:rPr>
                <w:rFonts w:ascii="Times New Roman" w:eastAsia="標楷體" w:hAnsi="標楷體" w:cs="Times New Roman" w:hint="eastAsia"/>
                <w:bCs/>
                <w:color w:val="000000"/>
              </w:rPr>
              <w:t>臨床試驗</w:t>
            </w:r>
            <w:r w:rsidR="0055158E">
              <w:rPr>
                <w:rFonts w:ascii="Times New Roman" w:eastAsia="標楷體" w:hAnsi="Times New Roman" w:hint="eastAsia"/>
                <w:color w:val="000000" w:themeColor="text1"/>
              </w:rPr>
              <w:t>（</w:t>
            </w:r>
            <w:r w:rsidR="007040E0">
              <w:rPr>
                <w:rFonts w:ascii="Times New Roman" w:eastAsia="標楷體" w:hAnsi="標楷體" w:cs="Times New Roman" w:hint="eastAsia"/>
                <w:bCs/>
                <w:color w:val="000000"/>
              </w:rPr>
              <w:t>CLARICOR</w:t>
            </w:r>
            <w:r w:rsidR="0055158E">
              <w:rPr>
                <w:rFonts w:ascii="Times New Roman" w:eastAsia="標楷體" w:hAnsi="Times New Roman" w:hint="eastAsia"/>
                <w:color w:val="000000" w:themeColor="text1"/>
              </w:rPr>
              <w:t>）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結果顯示</w:t>
            </w:r>
            <w:r w:rsidR="00892128">
              <w:rPr>
                <w:rFonts w:ascii="Times New Roman" w:eastAsia="標楷體" w:hAnsi="標楷體" w:cs="Times New Roman" w:hint="eastAsia"/>
                <w:bCs/>
                <w:color w:val="000000"/>
              </w:rPr>
              <w:t>，曾使用</w:t>
            </w:r>
            <w:r w:rsidR="0091247A">
              <w:rPr>
                <w:rFonts w:ascii="Times New Roman" w:eastAsia="標楷體" w:hAnsi="Times New Roman" w:hint="eastAsia"/>
                <w:color w:val="000000" w:themeColor="text1"/>
              </w:rPr>
              <w:t>含</w:t>
            </w:r>
            <w:r w:rsidR="0091247A">
              <w:rPr>
                <w:rFonts w:ascii="Times New Roman" w:eastAsia="標楷體" w:hAnsi="Times New Roman" w:hint="eastAsia"/>
                <w:color w:val="000000" w:themeColor="text1"/>
              </w:rPr>
              <w:t>clarithromycin</w:t>
            </w:r>
            <w:r w:rsidR="0091247A">
              <w:rPr>
                <w:rFonts w:ascii="Times New Roman" w:eastAsia="標楷體" w:hAnsi="Times New Roman" w:hint="eastAsia"/>
                <w:color w:val="000000" w:themeColor="text1"/>
              </w:rPr>
              <w:t>成分藥品</w:t>
            </w:r>
            <w:r w:rsidR="00892128">
              <w:rPr>
                <w:rFonts w:ascii="Times New Roman" w:eastAsia="標楷體" w:hAnsi="標楷體" w:cs="Times New Roman" w:hint="eastAsia"/>
                <w:bCs/>
                <w:color w:val="000000"/>
              </w:rPr>
              <w:t>兩週療程之</w:t>
            </w:r>
            <w:r w:rsidR="007040E0">
              <w:rPr>
                <w:rFonts w:ascii="Times New Roman" w:eastAsia="標楷體" w:hAnsi="標楷體" w:cs="Times New Roman" w:hint="eastAsia"/>
                <w:bCs/>
                <w:color w:val="000000"/>
              </w:rPr>
              <w:t>冠狀</w:t>
            </w:r>
            <w:r w:rsidR="0046371B">
              <w:rPr>
                <w:rFonts w:ascii="Times New Roman" w:eastAsia="標楷體" w:hAnsi="標楷體" w:cs="Times New Roman" w:hint="eastAsia"/>
                <w:bCs/>
                <w:color w:val="000000"/>
              </w:rPr>
              <w:t>動脈</w:t>
            </w:r>
            <w:r w:rsidR="007040E0">
              <w:rPr>
                <w:rFonts w:ascii="Times New Roman" w:eastAsia="標楷體" w:hAnsi="標楷體" w:cs="Times New Roman" w:hint="eastAsia"/>
                <w:bCs/>
                <w:color w:val="000000"/>
              </w:rPr>
              <w:t>心臟病病人，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經追蹤一年或更長時間後發現，</w:t>
            </w:r>
            <w:r w:rsidR="007040E0">
              <w:rPr>
                <w:rFonts w:ascii="Times New Roman" w:eastAsia="標楷體" w:hAnsi="標楷體" w:cs="Times New Roman" w:hint="eastAsia"/>
                <w:bCs/>
                <w:color w:val="000000"/>
              </w:rPr>
              <w:t>相較於</w:t>
            </w:r>
            <w:r w:rsidR="00167934">
              <w:rPr>
                <w:rFonts w:ascii="Times New Roman" w:eastAsia="標楷體" w:hAnsi="標楷體" w:cs="Times New Roman" w:hint="eastAsia"/>
                <w:bCs/>
                <w:color w:val="000000"/>
              </w:rPr>
              <w:t>使用安慰劑</w:t>
            </w:r>
            <w:r w:rsidR="00892128">
              <w:rPr>
                <w:rFonts w:ascii="Times New Roman" w:eastAsia="標楷體" w:hAnsi="標楷體" w:cs="Times New Roman" w:hint="eastAsia"/>
                <w:bCs/>
                <w:color w:val="000000"/>
              </w:rPr>
              <w:t>者</w:t>
            </w:r>
            <w:r w:rsidR="00BD39CA">
              <w:rPr>
                <w:rFonts w:ascii="Times New Roman" w:eastAsia="標楷體" w:hAnsi="標楷體" w:cs="Times New Roman" w:hint="eastAsia"/>
                <w:bCs/>
                <w:color w:val="000000"/>
              </w:rPr>
              <w:t>，</w:t>
            </w:r>
            <w:r w:rsidR="00A52586">
              <w:rPr>
                <w:rFonts w:ascii="Times New Roman" w:eastAsia="標楷體" w:hAnsi="標楷體" w:cs="Times New Roman" w:hint="eastAsia"/>
                <w:bCs/>
                <w:color w:val="000000"/>
              </w:rPr>
              <w:t>死亡</w:t>
            </w:r>
            <w:r w:rsid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率較高</w:t>
            </w:r>
            <w:r w:rsidR="00892128">
              <w:rPr>
                <w:rFonts w:ascii="Times New Roman" w:eastAsia="標楷體" w:hAnsi="標楷體" w:cs="Times New Roman" w:hint="eastAsia"/>
                <w:bCs/>
                <w:color w:val="000000"/>
              </w:rPr>
              <w:t>。</w:t>
            </w:r>
            <w:r w:rsidR="00BD39CA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目前尚</w:t>
            </w:r>
            <w:r w:rsidR="002A6396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無法確知</w:t>
            </w:r>
            <w:r w:rsid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其機轉</w:t>
            </w:r>
            <w:r w:rsidR="0046371B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為何</w:t>
            </w:r>
            <w:r w:rsid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。</w:t>
            </w:r>
          </w:p>
          <w:p w:rsidR="004A75C7" w:rsidRDefault="0091247A" w:rsidP="0091247A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 w:line="400" w:lineRule="exact"/>
              <w:rPr>
                <w:rFonts w:ascii="Times New Roman" w:eastAsia="標楷體" w:hAnsi="標楷體" w:cs="Times New Roman"/>
                <w:bCs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因</w:t>
            </w:r>
            <w:r w:rsidR="004A75C7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CLARICOR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試驗僅涵蓋冠狀動脈</w:t>
            </w:r>
            <w:r w:rsidR="006E21B6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心臟病病人</w:t>
            </w:r>
            <w:r w:rsidR="002A6396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，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且</w:t>
            </w:r>
            <w:r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目前並無前瞻性隨機分派試驗針對非心臟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疾</w:t>
            </w:r>
            <w:r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病病人使用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含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clarithromycin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成分藥品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之長期安全性進行評估</w:t>
            </w:r>
            <w:r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，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故</w:t>
            </w:r>
            <w:r w:rsidR="002A6396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無法確知</w:t>
            </w:r>
            <w:r w:rsidR="004A75C7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其結論</w:t>
            </w:r>
            <w:r w:rsidR="002A6396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是否適用於</w:t>
            </w:r>
            <w:r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非心臟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疾</w:t>
            </w:r>
            <w:r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病病人</w:t>
            </w:r>
            <w:r w:rsidR="004A75C7" w:rsidRPr="0091247A">
              <w:rPr>
                <w:rFonts w:ascii="Times New Roman" w:eastAsia="標楷體" w:hAnsi="標楷體" w:cs="Times New Roman" w:hint="eastAsia"/>
                <w:bCs/>
                <w:color w:val="000000"/>
              </w:rPr>
              <w:t>。</w:t>
            </w:r>
          </w:p>
          <w:p w:rsidR="00F3622B" w:rsidRPr="00414211" w:rsidRDefault="00FB5F54" w:rsidP="00414211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 w:line="400" w:lineRule="exact"/>
              <w:rPr>
                <w:rFonts w:ascii="Times New Roman" w:eastAsia="標楷體" w:hAnsi="標楷體" w:cs="Times New Roman"/>
                <w:bCs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美國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FDA</w:t>
            </w:r>
            <w:r>
              <w:rPr>
                <w:rFonts w:ascii="Times New Roman" w:eastAsia="標楷體" w:hAnsi="標楷體" w:cs="Times New Roman" w:hint="eastAsia"/>
                <w:bCs/>
                <w:color w:val="000000"/>
              </w:rPr>
              <w:t>已更新仿單包括上述安全資訊。</w:t>
            </w:r>
          </w:p>
        </w:tc>
      </w:tr>
      <w:tr w:rsidR="00414211" w:rsidRPr="00136184" w:rsidTr="00414211">
        <w:trPr>
          <w:jc w:val="center"/>
        </w:trPr>
        <w:tc>
          <w:tcPr>
            <w:tcW w:w="2272" w:type="dxa"/>
            <w:vAlign w:val="center"/>
          </w:tcPr>
          <w:p w:rsidR="00414211" w:rsidRPr="00B57AEE" w:rsidRDefault="00414211" w:rsidP="009424B6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食品藥物管理署風險溝通說明</w:t>
            </w:r>
          </w:p>
        </w:tc>
        <w:tc>
          <w:tcPr>
            <w:tcW w:w="7457" w:type="dxa"/>
          </w:tcPr>
          <w:p w:rsidR="00CB4217" w:rsidRDefault="00CB4217" w:rsidP="00BE5211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食品藥物管理署說明：</w:t>
            </w:r>
          </w:p>
          <w:p w:rsidR="00BE5211" w:rsidRDefault="00BE5211" w:rsidP="00BE5211">
            <w:pPr>
              <w:pStyle w:val="Default"/>
              <w:widowControl/>
              <w:numPr>
                <w:ilvl w:val="0"/>
                <w:numId w:val="45"/>
              </w:numPr>
              <w:adjustRightInd/>
              <w:ind w:left="357" w:hanging="357"/>
              <w:rPr>
                <w:rFonts w:ascii="標楷體" w:eastAsia="標楷體" w:hAnsi="標楷體"/>
              </w:rPr>
            </w:pPr>
            <w:r w:rsidRPr="00BE5211">
              <w:rPr>
                <w:rFonts w:ascii="標楷體" w:eastAsia="標楷體" w:hAnsi="標楷體" w:hint="eastAsia"/>
              </w:rPr>
              <w:t>經查，國內核准含clarithromycin</w:t>
            </w:r>
            <w:r>
              <w:rPr>
                <w:rFonts w:ascii="標楷體" w:eastAsia="標楷體" w:hAnsi="標楷體" w:hint="eastAsia"/>
              </w:rPr>
              <w:t>成分藥品之中文仿單已於「警語及注意事項」</w:t>
            </w:r>
            <w:r w:rsidRPr="00BE5211">
              <w:rPr>
                <w:rFonts w:ascii="標楷體" w:eastAsia="標楷體" w:hAnsi="標楷體" w:hint="eastAsia"/>
              </w:rPr>
              <w:t>刊載『clarithromycin 可能有造成 QT 延長的風險，因此，用於病患患有冠狀動脈疾病、嚴重心臟功能不全、低鎂血症、心搏徐緩（&lt; 50次），或併用其他可能造成QT 延長相關的藥物時，須謹慎使用。Clarithromycin不應使用於患者有先天性或記錄曾有QT間隔延長或心室性心律不整的病史。</w:t>
            </w:r>
            <w:r w:rsidRPr="00BE5211">
              <w:rPr>
                <w:rFonts w:ascii="標楷體" w:eastAsia="標楷體" w:hAnsi="標楷體" w:hint="eastAsia"/>
                <w:shd w:val="clear" w:color="auto" w:fill="FFFFFF"/>
              </w:rPr>
              <w:t>』，</w:t>
            </w:r>
            <w:r w:rsidRPr="00BE5211">
              <w:rPr>
                <w:rFonts w:ascii="標楷體" w:eastAsia="標楷體" w:hAnsi="標楷體" w:hint="eastAsia"/>
              </w:rPr>
              <w:t>惟未完全涵蓋</w:t>
            </w:r>
            <w:r w:rsidR="00711E9F">
              <w:rPr>
                <w:rFonts w:ascii="標楷體" w:eastAsia="標楷體" w:hAnsi="標楷體" w:hint="eastAsia"/>
              </w:rPr>
              <w:t>上述安全資訊</w:t>
            </w:r>
            <w:r w:rsidRPr="00BE5211">
              <w:rPr>
                <w:rFonts w:ascii="標楷體" w:eastAsia="標楷體" w:hAnsi="標楷體" w:hint="eastAsia"/>
              </w:rPr>
              <w:t>內容。</w:t>
            </w:r>
          </w:p>
          <w:p w:rsidR="00CB4217" w:rsidRPr="00711E9F" w:rsidRDefault="00711E9F" w:rsidP="00711E9F">
            <w:pPr>
              <w:pStyle w:val="Default"/>
              <w:widowControl/>
              <w:numPr>
                <w:ilvl w:val="0"/>
                <w:numId w:val="45"/>
              </w:numPr>
              <w:adjustRightInd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針對是否更新</w:t>
            </w:r>
            <w:r w:rsidRPr="00BE5211">
              <w:rPr>
                <w:rFonts w:ascii="標楷體" w:eastAsia="標楷體" w:hAnsi="標楷體" w:hint="eastAsia"/>
              </w:rPr>
              <w:t>含clarithromycin</w:t>
            </w:r>
            <w:r>
              <w:rPr>
                <w:rFonts w:ascii="標楷體" w:eastAsia="標楷體" w:hAnsi="標楷體" w:hint="eastAsia"/>
              </w:rPr>
              <w:t>成分藥品之中文仿單以包含上述安全資訊，本署現正評估中。</w:t>
            </w:r>
          </w:p>
          <w:p w:rsidR="00414211" w:rsidRPr="00644664" w:rsidRDefault="00414211" w:rsidP="00BE5211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E74E4C">
              <w:rPr>
                <w:rFonts w:ascii="Times New Roman" w:eastAsia="標楷體" w:hAnsi="標楷體" w:cs="Times New Roman" w:hint="eastAsia"/>
                <w:b/>
                <w:bCs/>
                <w:color w:val="000000"/>
                <w:u w:val="single"/>
              </w:rPr>
              <w:t>醫療人員</w:t>
            </w:r>
            <w:r w:rsidRPr="00E74E4C">
              <w:rPr>
                <w:rFonts w:ascii="Times New Roman" w:eastAsia="標楷體" w:hAnsi="標楷體" w:cs="Times New Roman" w:hint="eastAsia"/>
                <w:b/>
                <w:color w:val="000000"/>
              </w:rPr>
              <w:t>應注意事項：</w:t>
            </w:r>
          </w:p>
          <w:p w:rsidR="00711E9F" w:rsidRDefault="00414211" w:rsidP="00711E9F">
            <w:pPr>
              <w:pStyle w:val="Web"/>
              <w:numPr>
                <w:ilvl w:val="0"/>
                <w:numId w:val="46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</w:rPr>
              <w:t>處方</w:t>
            </w:r>
            <w:r w:rsidR="00711E9F" w:rsidRPr="00BE5211">
              <w:rPr>
                <w:rFonts w:ascii="標楷體" w:eastAsia="標楷體" w:hAnsi="標楷體" w:hint="eastAsia"/>
              </w:rPr>
              <w:t>含clarithromycin</w:t>
            </w:r>
            <w:r w:rsidR="00711E9F">
              <w:rPr>
                <w:rFonts w:ascii="標楷體" w:eastAsia="標楷體" w:hAnsi="標楷體" w:hint="eastAsia"/>
              </w:rPr>
              <w:t>成分藥品</w:t>
            </w:r>
            <w:r>
              <w:rPr>
                <w:rFonts w:ascii="Times New Roman" w:eastAsia="標楷體" w:hAnsi="標楷體" w:cs="Times New Roman" w:hint="eastAsia"/>
              </w:rPr>
              <w:t>前，應</w:t>
            </w:r>
            <w:r w:rsidRPr="002A6396">
              <w:rPr>
                <w:rFonts w:ascii="Times New Roman" w:eastAsia="標楷體" w:hAnsi="標楷體" w:cs="Times New Roman"/>
              </w:rPr>
              <w:t>謹慎評估病人使用該藥品之臨床效益與風險</w:t>
            </w:r>
            <w:r>
              <w:rPr>
                <w:rFonts w:ascii="Times New Roman" w:eastAsia="標楷體" w:hAnsi="標楷體" w:cs="Times New Roman" w:hint="eastAsia"/>
              </w:rPr>
              <w:t>，尤其</w:t>
            </w:r>
            <w:r w:rsidRPr="002A6396">
              <w:rPr>
                <w:rFonts w:ascii="Times New Roman" w:eastAsia="標楷體" w:hAnsi="標楷體" w:cs="Times New Roman" w:hint="eastAsia"/>
              </w:rPr>
              <w:t>是</w:t>
            </w:r>
            <w:r w:rsidR="00711E9F">
              <w:rPr>
                <w:rFonts w:ascii="Times New Roman" w:eastAsia="標楷體" w:hAnsi="標楷體" w:cs="Times New Roman" w:hint="eastAsia"/>
              </w:rPr>
              <w:t>使用於</w:t>
            </w:r>
            <w:r>
              <w:rPr>
                <w:rFonts w:ascii="Times New Roman" w:eastAsia="標楷體" w:hAnsi="標楷體" w:cs="Times New Roman" w:hint="eastAsia"/>
              </w:rPr>
              <w:t>有心臟疾病之病人</w:t>
            </w:r>
            <w:r w:rsidR="00711E9F">
              <w:rPr>
                <w:rFonts w:ascii="Times New Roman" w:eastAsia="標楷體" w:hAnsi="標楷體" w:cs="Times New Roman" w:hint="eastAsia"/>
              </w:rPr>
              <w:t>，可以考慮</w:t>
            </w:r>
            <w:r w:rsidR="00711E9F">
              <w:rPr>
                <w:rFonts w:ascii="Times New Roman" w:eastAsia="標楷體" w:hAnsi="標楷體" w:cs="Times New Roman" w:hint="eastAsia"/>
              </w:rPr>
              <w:lastRenderedPageBreak/>
              <w:t>使用其他替代抗生素，即使僅為短期</w:t>
            </w:r>
            <w:r w:rsidRPr="002A6396">
              <w:rPr>
                <w:rFonts w:ascii="Times New Roman" w:eastAsia="標楷體" w:hAnsi="標楷體" w:cs="Times New Roman" w:hint="eastAsia"/>
              </w:rPr>
              <w:t>使用。</w:t>
            </w:r>
          </w:p>
          <w:p w:rsidR="00414211" w:rsidRPr="00711E9F" w:rsidRDefault="00414211" w:rsidP="00711E9F">
            <w:pPr>
              <w:pStyle w:val="Web"/>
              <w:numPr>
                <w:ilvl w:val="0"/>
                <w:numId w:val="46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711E9F">
              <w:rPr>
                <w:rFonts w:ascii="Times New Roman" w:eastAsia="標楷體" w:hAnsi="標楷體" w:cs="Times New Roman" w:hint="eastAsia"/>
              </w:rPr>
              <w:t>應告知</w:t>
            </w:r>
            <w:r w:rsidR="00711E9F">
              <w:rPr>
                <w:rFonts w:ascii="Times New Roman" w:eastAsia="標楷體" w:hAnsi="標楷體" w:cs="Times New Roman" w:hint="eastAsia"/>
              </w:rPr>
              <w:t>有</w:t>
            </w:r>
            <w:r w:rsidRPr="00711E9F">
              <w:rPr>
                <w:rFonts w:ascii="Times New Roman" w:eastAsia="標楷體" w:hAnsi="標楷體" w:cs="Times New Roman" w:hint="eastAsia"/>
              </w:rPr>
              <w:t>心臟疾病的病人有關心血管問題</w:t>
            </w:r>
            <w:r w:rsidR="00711E9F">
              <w:rPr>
                <w:rFonts w:ascii="Times New Roman" w:eastAsia="標楷體" w:hAnsi="標楷體" w:cs="Times New Roman" w:hint="eastAsia"/>
              </w:rPr>
              <w:t>相關的症狀與徵兆</w:t>
            </w:r>
            <w:r w:rsidRPr="00711E9F">
              <w:rPr>
                <w:rFonts w:ascii="Times New Roman" w:eastAsia="標楷體" w:hAnsi="標楷體" w:cs="Times New Roman" w:hint="eastAsia"/>
              </w:rPr>
              <w:t>，</w:t>
            </w:r>
            <w:r w:rsidR="00711E9F">
              <w:rPr>
                <w:rFonts w:ascii="Times New Roman" w:eastAsia="標楷體" w:hAnsi="標楷體" w:cs="Times New Roman" w:hint="eastAsia"/>
              </w:rPr>
              <w:t>並提醒病人</w:t>
            </w:r>
            <w:r w:rsidRPr="00711E9F">
              <w:rPr>
                <w:rFonts w:ascii="Times New Roman" w:eastAsia="標楷體" w:hAnsi="標楷體" w:cs="Times New Roman" w:hint="eastAsia"/>
              </w:rPr>
              <w:t>如出現不適症狀，應儘速回診就醫</w:t>
            </w:r>
            <w:r w:rsidRPr="00711E9F">
              <w:rPr>
                <w:rFonts w:ascii="Times New Roman" w:eastAsia="標楷體" w:hAnsi="標楷體" w:cs="Times New Roman"/>
              </w:rPr>
              <w:t>。</w:t>
            </w:r>
          </w:p>
          <w:p w:rsidR="00414211" w:rsidRDefault="00414211" w:rsidP="00BE5211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</w:rPr>
            </w:pPr>
            <w:r w:rsidRPr="00FA7939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病人</w:t>
            </w:r>
            <w:r w:rsidRPr="00FA7939">
              <w:rPr>
                <w:rFonts w:ascii="Times New Roman" w:eastAsia="標楷體" w:hAnsi="Times New Roman" w:cs="Times New Roman"/>
                <w:b/>
              </w:rPr>
              <w:t>應注意事項</w:t>
            </w:r>
            <w:r w:rsidRPr="00494350">
              <w:rPr>
                <w:rFonts w:ascii="Times New Roman" w:eastAsia="標楷體" w:hAnsi="Times New Roman" w:cs="Times New Roman"/>
              </w:rPr>
              <w:t>：</w:t>
            </w:r>
          </w:p>
          <w:p w:rsidR="003C3824" w:rsidRDefault="003C3824" w:rsidP="003C3824">
            <w:pPr>
              <w:pStyle w:val="Web"/>
              <w:numPr>
                <w:ilvl w:val="0"/>
                <w:numId w:val="47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若有心臟疾病</w:t>
            </w:r>
            <w:r w:rsidR="00414211">
              <w:rPr>
                <w:rFonts w:ascii="Times New Roman" w:eastAsia="標楷體" w:hAnsi="Times New Roman" w:cs="Times New Roman" w:hint="eastAsia"/>
              </w:rPr>
              <w:t>應主動告知醫療人員，尤其是將要使用抗生素治療感染時。</w:t>
            </w:r>
          </w:p>
          <w:p w:rsidR="003C3824" w:rsidRDefault="003C3824" w:rsidP="003C3824">
            <w:pPr>
              <w:pStyle w:val="Web"/>
              <w:numPr>
                <w:ilvl w:val="0"/>
                <w:numId w:val="47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若有任何疑問請諮詢</w:t>
            </w:r>
            <w:r w:rsidR="00414211" w:rsidRPr="003C3824">
              <w:rPr>
                <w:rFonts w:ascii="Times New Roman" w:eastAsia="標楷體" w:hAnsi="Times New Roman" w:cs="Times New Roman" w:hint="eastAsia"/>
              </w:rPr>
              <w:t>醫療人員，</w:t>
            </w:r>
            <w:r>
              <w:rPr>
                <w:rFonts w:ascii="Times New Roman" w:eastAsia="標楷體" w:hAnsi="Times New Roman" w:cs="Times New Roman" w:hint="eastAsia"/>
              </w:rPr>
              <w:t>切</w:t>
            </w:r>
            <w:r w:rsidR="00414211" w:rsidRPr="003C3824">
              <w:rPr>
                <w:rFonts w:ascii="Times New Roman" w:eastAsia="標楷體" w:hAnsi="Times New Roman" w:cs="Times New Roman" w:hint="eastAsia"/>
              </w:rPr>
              <w:t>勿</w:t>
            </w:r>
            <w:r>
              <w:rPr>
                <w:rFonts w:ascii="Times New Roman" w:eastAsia="標楷體" w:hAnsi="Times New Roman" w:cs="Times New Roman" w:hint="eastAsia"/>
              </w:rPr>
              <w:t>於諮詢醫療人員前</w:t>
            </w:r>
            <w:r w:rsidR="00414211" w:rsidRPr="003C3824">
              <w:rPr>
                <w:rFonts w:ascii="Times New Roman" w:eastAsia="標楷體" w:hAnsi="Times New Roman" w:cs="Times New Roman" w:hint="eastAsia"/>
              </w:rPr>
              <w:t>自行停用心血管疾病用藥</w:t>
            </w:r>
            <w:r>
              <w:rPr>
                <w:rFonts w:ascii="Times New Roman" w:eastAsia="標楷體" w:hAnsi="Times New Roman" w:cs="Times New Roman" w:hint="eastAsia"/>
              </w:rPr>
              <w:t>或</w:t>
            </w:r>
            <w:r w:rsidR="00414211" w:rsidRPr="003C3824">
              <w:rPr>
                <w:rFonts w:ascii="Times New Roman" w:eastAsia="標楷體" w:hAnsi="Times New Roman" w:cs="Times New Roman" w:hint="eastAsia"/>
              </w:rPr>
              <w:t>抗生素</w:t>
            </w:r>
            <w:r>
              <w:rPr>
                <w:rFonts w:ascii="Times New Roman" w:eastAsia="標楷體" w:hAnsi="Times New Roman" w:cs="Times New Roman" w:hint="eastAsia"/>
              </w:rPr>
              <w:t>，疾病未治療可能導致嚴重的健康問題</w:t>
            </w:r>
            <w:r w:rsidR="00414211" w:rsidRPr="003C382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414211" w:rsidRPr="003C3824" w:rsidRDefault="00414211" w:rsidP="003C3824">
            <w:pPr>
              <w:pStyle w:val="Web"/>
              <w:numPr>
                <w:ilvl w:val="0"/>
                <w:numId w:val="47"/>
              </w:numPr>
              <w:spacing w:before="0" w:beforeAutospacing="0" w:after="0" w:afterAutospacing="0"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C3824">
              <w:rPr>
                <w:rFonts w:ascii="Times New Roman" w:eastAsia="標楷體" w:hAnsi="Times New Roman" w:cs="Times New Roman" w:hint="eastAsia"/>
              </w:rPr>
              <w:t>若</w:t>
            </w:r>
            <w:r w:rsidR="003C3824">
              <w:rPr>
                <w:rFonts w:ascii="Times New Roman" w:eastAsia="標楷體" w:hAnsi="Times New Roman" w:cs="Times New Roman" w:hint="eastAsia"/>
              </w:rPr>
              <w:t>出現</w:t>
            </w:r>
            <w:r w:rsidRPr="003C3824">
              <w:rPr>
                <w:rFonts w:ascii="Times New Roman" w:eastAsia="標楷體" w:hAnsi="Times New Roman" w:cs="Times New Roman" w:hint="eastAsia"/>
              </w:rPr>
              <w:t>胸痛、呼吸短促或呼吸困難、單一部位或單側身體無力或疼痛、說話模糊不清等</w:t>
            </w:r>
            <w:r w:rsidR="003C3824">
              <w:rPr>
                <w:rFonts w:ascii="Times New Roman" w:eastAsia="標楷體" w:hAnsi="Times New Roman" w:cs="Times New Roman" w:hint="eastAsia"/>
              </w:rPr>
              <w:t>症狀，可能為心肌梗塞或中風之前兆，應立即就醫</w:t>
            </w:r>
            <w:r w:rsidRPr="003C382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414211" w:rsidRPr="00913E22" w:rsidRDefault="00414211" w:rsidP="00BE5211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醫療人員或病人</w:t>
            </w:r>
            <w:r w:rsidRPr="00963793">
              <w:rPr>
                <w:rFonts w:ascii="Times New Roman" w:eastAsia="標楷體" w:hAnsi="標楷體" w:cs="Times New Roman" w:hint="eastAsia"/>
              </w:rPr>
              <w:t>懷疑因為使用（服用）藥品導致不良反應發生時，請立</w:t>
            </w:r>
            <w:r>
              <w:rPr>
                <w:rFonts w:ascii="Times New Roman" w:eastAsia="標楷體" w:hAnsi="標楷體" w:cs="Times New Roman" w:hint="eastAsia"/>
              </w:rPr>
              <w:t>即通報給衛生福利部</w:t>
            </w:r>
            <w:r w:rsidRPr="00963793">
              <w:rPr>
                <w:rFonts w:ascii="Times New Roman" w:eastAsia="標楷體" w:hAnsi="標楷體" w:cs="Times New Roman" w:hint="eastAsia"/>
              </w:rPr>
              <w:t>所建置之全國藥物不良反應通報中心</w:t>
            </w:r>
            <w:r>
              <w:rPr>
                <w:rFonts w:ascii="Times New Roman" w:eastAsia="標楷體" w:hAnsi="標楷體" w:cs="Times New Roman" w:hint="eastAsia"/>
              </w:rPr>
              <w:t>，</w:t>
            </w:r>
            <w:r w:rsidRPr="00963793">
              <w:rPr>
                <w:rFonts w:ascii="Times New Roman" w:eastAsia="標楷體" w:hAnsi="標楷體" w:cs="Times New Roman" w:hint="eastAsia"/>
              </w:rPr>
              <w:t>並副知所屬廠商，藥物不良反應通報專線</w:t>
            </w:r>
            <w:r w:rsidRPr="00963793">
              <w:rPr>
                <w:rFonts w:ascii="Times New Roman" w:eastAsia="標楷體" w:cs="Times New Roman"/>
              </w:rPr>
              <w:t>02-2396-0100</w:t>
            </w:r>
            <w:r w:rsidRPr="00963793">
              <w:rPr>
                <w:rFonts w:ascii="Times New Roman" w:eastAsia="標楷體" w:hAnsi="標楷體" w:cs="Times New Roman" w:hint="eastAsia"/>
              </w:rPr>
              <w:t>，網站：</w:t>
            </w:r>
            <w:hyperlink r:id="rId10" w:history="1">
              <w:r w:rsidRPr="00614CC1">
                <w:rPr>
                  <w:rStyle w:val="ab"/>
                  <w:rFonts w:ascii="Times New Roman" w:eastAsia="標楷體"/>
                </w:rPr>
                <w:t>http</w:t>
              </w:r>
              <w:r w:rsidRPr="00614CC1">
                <w:rPr>
                  <w:rStyle w:val="ab"/>
                  <w:rFonts w:ascii="Times New Roman" w:eastAsia="標楷體" w:hint="eastAsia"/>
                </w:rPr>
                <w:t>s</w:t>
              </w:r>
              <w:r w:rsidRPr="00614CC1">
                <w:rPr>
                  <w:rStyle w:val="ab"/>
                  <w:rFonts w:ascii="Times New Roman" w:eastAsia="標楷體"/>
                </w:rPr>
                <w:t>://adr.fda.gov.tw</w:t>
              </w:r>
            </w:hyperlink>
            <w:r>
              <w:rPr>
                <w:rFonts w:ascii="Times New Roman" w:eastAsia="標楷體" w:hAnsi="標楷體" w:cs="Times New Roman" w:hint="eastAsia"/>
              </w:rPr>
              <w:t>；衛生福利部食品藥物管理署獲知藥品安全訊息時，均會蒐集彙整相關資料進行評估，並對於新增之藥品風險採取對應之風險管控措施</w:t>
            </w:r>
            <w:r>
              <w:rPr>
                <w:rFonts w:ascii="Times New Roman" w:eastAsia="標楷體" w:cs="Times New Roman" w:hint="eastAsia"/>
              </w:rPr>
              <w:t>。</w:t>
            </w:r>
          </w:p>
          <w:p w:rsidR="00414211" w:rsidRPr="00414211" w:rsidRDefault="00414211" w:rsidP="00414211">
            <w:pPr>
              <w:pStyle w:val="Web"/>
              <w:spacing w:before="0" w:beforeAutospacing="0" w:after="0" w:afterAutospacing="0" w:line="400" w:lineRule="exact"/>
              <w:ind w:left="360"/>
              <w:rPr>
                <w:rFonts w:ascii="Times New Roman" w:eastAsia="標楷體" w:hAnsi="標楷體" w:cs="Times New Roman"/>
                <w:bCs/>
                <w:color w:val="000000"/>
              </w:rPr>
            </w:pPr>
          </w:p>
        </w:tc>
      </w:tr>
    </w:tbl>
    <w:p w:rsidR="00211E09" w:rsidRPr="003B56BC" w:rsidRDefault="00211E09"/>
    <w:sectPr w:rsidR="00211E09" w:rsidRPr="003B56BC" w:rsidSect="006448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D5" w:rsidRDefault="00B23FD5" w:rsidP="003B56BC">
      <w:r>
        <w:separator/>
      </w:r>
    </w:p>
  </w:endnote>
  <w:endnote w:type="continuationSeparator" w:id="0">
    <w:p w:rsidR="00B23FD5" w:rsidRDefault="00B23FD5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D5" w:rsidRDefault="00B23FD5" w:rsidP="003B56BC">
      <w:r>
        <w:separator/>
      </w:r>
    </w:p>
  </w:footnote>
  <w:footnote w:type="continuationSeparator" w:id="0">
    <w:p w:rsidR="00B23FD5" w:rsidRDefault="00B23FD5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65"/>
    <w:multiLevelType w:val="hybridMultilevel"/>
    <w:tmpl w:val="6FF8E6B4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986353"/>
    <w:multiLevelType w:val="hybridMultilevel"/>
    <w:tmpl w:val="4DD4234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45D2E"/>
    <w:multiLevelType w:val="hybridMultilevel"/>
    <w:tmpl w:val="0E785D7A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0561D"/>
    <w:multiLevelType w:val="hybridMultilevel"/>
    <w:tmpl w:val="D86C454A"/>
    <w:lvl w:ilvl="0" w:tplc="0409000F">
      <w:start w:val="1"/>
      <w:numFmt w:val="decimal"/>
      <w:lvlText w:val="%1."/>
      <w:lvlJc w:val="left"/>
      <w:pPr>
        <w:ind w:left="9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" w15:restartNumberingAfterBreak="0">
    <w:nsid w:val="098012C2"/>
    <w:multiLevelType w:val="hybridMultilevel"/>
    <w:tmpl w:val="906C271E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9EE1A3C"/>
    <w:multiLevelType w:val="hybridMultilevel"/>
    <w:tmpl w:val="6A722000"/>
    <w:lvl w:ilvl="0" w:tplc="0409000B">
      <w:start w:val="1"/>
      <w:numFmt w:val="bullet"/>
      <w:lvlText w:val=""/>
      <w:lvlJc w:val="left"/>
      <w:pPr>
        <w:ind w:left="10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8" w:hanging="480"/>
      </w:pPr>
      <w:rPr>
        <w:rFonts w:ascii="Wingdings" w:hAnsi="Wingdings" w:hint="default"/>
      </w:rPr>
    </w:lvl>
  </w:abstractNum>
  <w:abstractNum w:abstractNumId="6" w15:restartNumberingAfterBreak="0">
    <w:nsid w:val="0A1A3AC6"/>
    <w:multiLevelType w:val="hybridMultilevel"/>
    <w:tmpl w:val="EDB851C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A981140"/>
    <w:multiLevelType w:val="hybridMultilevel"/>
    <w:tmpl w:val="BE9289F0"/>
    <w:lvl w:ilvl="0" w:tplc="52E0D3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6E551A"/>
    <w:multiLevelType w:val="hybridMultilevel"/>
    <w:tmpl w:val="C5F6EE7E"/>
    <w:lvl w:ilvl="0" w:tplc="5902F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00520E"/>
    <w:multiLevelType w:val="hybridMultilevel"/>
    <w:tmpl w:val="5F5E109E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6C06DE5"/>
    <w:multiLevelType w:val="hybridMultilevel"/>
    <w:tmpl w:val="712C18FE"/>
    <w:lvl w:ilvl="0" w:tplc="63DAFAF4">
      <w:start w:val="1"/>
      <w:numFmt w:val="lowerLetter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223523"/>
    <w:multiLevelType w:val="hybridMultilevel"/>
    <w:tmpl w:val="7A36EA60"/>
    <w:lvl w:ilvl="0" w:tplc="2BBE83C2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E0623D"/>
    <w:multiLevelType w:val="hybridMultilevel"/>
    <w:tmpl w:val="0838AB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1E7F12FD"/>
    <w:multiLevelType w:val="hybridMultilevel"/>
    <w:tmpl w:val="77603F70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02938"/>
    <w:multiLevelType w:val="hybridMultilevel"/>
    <w:tmpl w:val="7DC674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22E849D2"/>
    <w:multiLevelType w:val="hybridMultilevel"/>
    <w:tmpl w:val="A79EDC0E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6" w15:restartNumberingAfterBreak="0">
    <w:nsid w:val="292F36F3"/>
    <w:multiLevelType w:val="hybridMultilevel"/>
    <w:tmpl w:val="6874B950"/>
    <w:lvl w:ilvl="0" w:tplc="0409000F">
      <w:start w:val="1"/>
      <w:numFmt w:val="decimal"/>
      <w:lvlText w:val="%1."/>
      <w:lvlJc w:val="left"/>
      <w:pPr>
        <w:ind w:left="8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7" w15:restartNumberingAfterBreak="0">
    <w:nsid w:val="29FD164F"/>
    <w:multiLevelType w:val="hybridMultilevel"/>
    <w:tmpl w:val="3C4EC95E"/>
    <w:lvl w:ilvl="0" w:tplc="AF5A8C34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color w:val="1F497D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1C3999"/>
    <w:multiLevelType w:val="hybridMultilevel"/>
    <w:tmpl w:val="C9A2E20C"/>
    <w:lvl w:ilvl="0" w:tplc="5164F0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484CD9"/>
    <w:multiLevelType w:val="hybridMultilevel"/>
    <w:tmpl w:val="CC9860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EF06171"/>
    <w:multiLevelType w:val="hybridMultilevel"/>
    <w:tmpl w:val="0082EE4A"/>
    <w:lvl w:ilvl="0" w:tplc="2BBE83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A63ADD"/>
    <w:multiLevelType w:val="hybridMultilevel"/>
    <w:tmpl w:val="ED9E8F82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22" w15:restartNumberingAfterBreak="0">
    <w:nsid w:val="308A493B"/>
    <w:multiLevelType w:val="hybridMultilevel"/>
    <w:tmpl w:val="CC72A5DC"/>
    <w:lvl w:ilvl="0" w:tplc="8B02577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817CA0"/>
    <w:multiLevelType w:val="hybridMultilevel"/>
    <w:tmpl w:val="A192E4B8"/>
    <w:lvl w:ilvl="0" w:tplc="0409000F">
      <w:start w:val="1"/>
      <w:numFmt w:val="decimal"/>
      <w:lvlText w:val="%1."/>
      <w:lvlJc w:val="left"/>
      <w:pPr>
        <w:ind w:left="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24" w15:restartNumberingAfterBreak="0">
    <w:nsid w:val="405368BF"/>
    <w:multiLevelType w:val="hybridMultilevel"/>
    <w:tmpl w:val="440CE59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07A40F3"/>
    <w:multiLevelType w:val="hybridMultilevel"/>
    <w:tmpl w:val="DC346CDC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784953"/>
    <w:multiLevelType w:val="hybridMultilevel"/>
    <w:tmpl w:val="839C65F2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EC6A4B"/>
    <w:multiLevelType w:val="hybridMultilevel"/>
    <w:tmpl w:val="04F0A722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539702E"/>
    <w:multiLevelType w:val="hybridMultilevel"/>
    <w:tmpl w:val="0F5A46E2"/>
    <w:lvl w:ilvl="0" w:tplc="A12A6D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0B2163"/>
    <w:multiLevelType w:val="hybridMultilevel"/>
    <w:tmpl w:val="F47AB16A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AC22AE1"/>
    <w:multiLevelType w:val="hybridMultilevel"/>
    <w:tmpl w:val="6E52B17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C981707"/>
    <w:multiLevelType w:val="hybridMultilevel"/>
    <w:tmpl w:val="D3A03C62"/>
    <w:lvl w:ilvl="0" w:tplc="DE560608">
      <w:start w:val="1"/>
      <w:numFmt w:val="lowerLetter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6E9705B"/>
    <w:multiLevelType w:val="hybridMultilevel"/>
    <w:tmpl w:val="638AF9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4A24FB"/>
    <w:multiLevelType w:val="hybridMultilevel"/>
    <w:tmpl w:val="FE12BE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B4705AB"/>
    <w:multiLevelType w:val="hybridMultilevel"/>
    <w:tmpl w:val="5CD858CA"/>
    <w:lvl w:ilvl="0" w:tplc="990E5D48">
      <w:start w:val="1"/>
      <w:numFmt w:val="decimal"/>
      <w:lvlText w:val="%1."/>
      <w:lvlJc w:val="left"/>
      <w:pPr>
        <w:ind w:left="82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1D1B3B"/>
    <w:multiLevelType w:val="hybridMultilevel"/>
    <w:tmpl w:val="C07624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F330CE"/>
    <w:multiLevelType w:val="hybridMultilevel"/>
    <w:tmpl w:val="29DE7F68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7" w15:restartNumberingAfterBreak="0">
    <w:nsid w:val="604760F9"/>
    <w:multiLevelType w:val="hybridMultilevel"/>
    <w:tmpl w:val="EC60A6E6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5CF742A"/>
    <w:multiLevelType w:val="hybridMultilevel"/>
    <w:tmpl w:val="A85A258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6B1543E"/>
    <w:multiLevelType w:val="hybridMultilevel"/>
    <w:tmpl w:val="139EF982"/>
    <w:lvl w:ilvl="0" w:tplc="CC7415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AB6370"/>
    <w:multiLevelType w:val="hybridMultilevel"/>
    <w:tmpl w:val="22BE2080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41" w15:restartNumberingAfterBreak="0">
    <w:nsid w:val="73AD0DED"/>
    <w:multiLevelType w:val="hybridMultilevel"/>
    <w:tmpl w:val="FF72768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78494B79"/>
    <w:multiLevelType w:val="hybridMultilevel"/>
    <w:tmpl w:val="5B7AB09E"/>
    <w:lvl w:ilvl="0" w:tplc="CC74157E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3" w15:restartNumberingAfterBreak="0">
    <w:nsid w:val="79383E94"/>
    <w:multiLevelType w:val="hybridMultilevel"/>
    <w:tmpl w:val="CDA6DE76"/>
    <w:lvl w:ilvl="0" w:tplc="E8325788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4" w15:restartNumberingAfterBreak="0">
    <w:nsid w:val="7C03612B"/>
    <w:multiLevelType w:val="hybridMultilevel"/>
    <w:tmpl w:val="D50A9D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F467457"/>
    <w:multiLevelType w:val="hybridMultilevel"/>
    <w:tmpl w:val="07745C30"/>
    <w:lvl w:ilvl="0" w:tplc="11DEAF3C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0"/>
  </w:num>
  <w:num w:numId="5">
    <w:abstractNumId w:val="33"/>
  </w:num>
  <w:num w:numId="6">
    <w:abstractNumId w:val="12"/>
  </w:num>
  <w:num w:numId="7">
    <w:abstractNumId w:val="24"/>
  </w:num>
  <w:num w:numId="8">
    <w:abstractNumId w:val="27"/>
  </w:num>
  <w:num w:numId="9">
    <w:abstractNumId w:val="30"/>
  </w:num>
  <w:num w:numId="10">
    <w:abstractNumId w:val="5"/>
  </w:num>
  <w:num w:numId="11">
    <w:abstractNumId w:val="14"/>
  </w:num>
  <w:num w:numId="12">
    <w:abstractNumId w:val="44"/>
  </w:num>
  <w:num w:numId="13">
    <w:abstractNumId w:val="6"/>
  </w:num>
  <w:num w:numId="14">
    <w:abstractNumId w:val="32"/>
  </w:num>
  <w:num w:numId="15">
    <w:abstractNumId w:val="19"/>
  </w:num>
  <w:num w:numId="16">
    <w:abstractNumId w:val="41"/>
  </w:num>
  <w:num w:numId="17">
    <w:abstractNumId w:val="21"/>
  </w:num>
  <w:num w:numId="18">
    <w:abstractNumId w:val="15"/>
  </w:num>
  <w:num w:numId="19">
    <w:abstractNumId w:val="16"/>
  </w:num>
  <w:num w:numId="20">
    <w:abstractNumId w:val="37"/>
  </w:num>
  <w:num w:numId="21">
    <w:abstractNumId w:val="38"/>
  </w:num>
  <w:num w:numId="22">
    <w:abstractNumId w:val="25"/>
  </w:num>
  <w:num w:numId="23">
    <w:abstractNumId w:val="43"/>
  </w:num>
  <w:num w:numId="24">
    <w:abstractNumId w:val="2"/>
  </w:num>
  <w:num w:numId="25">
    <w:abstractNumId w:val="39"/>
  </w:num>
  <w:num w:numId="26">
    <w:abstractNumId w:val="42"/>
  </w:num>
  <w:num w:numId="27">
    <w:abstractNumId w:val="34"/>
  </w:num>
  <w:num w:numId="28">
    <w:abstractNumId w:val="7"/>
  </w:num>
  <w:num w:numId="29">
    <w:abstractNumId w:val="18"/>
  </w:num>
  <w:num w:numId="30">
    <w:abstractNumId w:val="1"/>
  </w:num>
  <w:num w:numId="31">
    <w:abstractNumId w:val="11"/>
  </w:num>
  <w:num w:numId="32">
    <w:abstractNumId w:val="20"/>
  </w:num>
  <w:num w:numId="33">
    <w:abstractNumId w:val="26"/>
  </w:num>
  <w:num w:numId="34">
    <w:abstractNumId w:val="13"/>
  </w:num>
  <w:num w:numId="35">
    <w:abstractNumId w:val="29"/>
  </w:num>
  <w:num w:numId="36">
    <w:abstractNumId w:val="45"/>
  </w:num>
  <w:num w:numId="37">
    <w:abstractNumId w:val="23"/>
  </w:num>
  <w:num w:numId="38">
    <w:abstractNumId w:val="3"/>
  </w:num>
  <w:num w:numId="39">
    <w:abstractNumId w:val="36"/>
  </w:num>
  <w:num w:numId="40">
    <w:abstractNumId w:val="4"/>
  </w:num>
  <w:num w:numId="41">
    <w:abstractNumId w:val="31"/>
  </w:num>
  <w:num w:numId="42">
    <w:abstractNumId w:val="10"/>
  </w:num>
  <w:num w:numId="43">
    <w:abstractNumId w:val="8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0533D"/>
    <w:rsid w:val="00011906"/>
    <w:rsid w:val="00014990"/>
    <w:rsid w:val="00017171"/>
    <w:rsid w:val="00017AD6"/>
    <w:rsid w:val="000259BC"/>
    <w:rsid w:val="00032A84"/>
    <w:rsid w:val="0003449A"/>
    <w:rsid w:val="000417A7"/>
    <w:rsid w:val="0004206A"/>
    <w:rsid w:val="0004625C"/>
    <w:rsid w:val="00057BAD"/>
    <w:rsid w:val="0006115A"/>
    <w:rsid w:val="000705C6"/>
    <w:rsid w:val="00081C6A"/>
    <w:rsid w:val="000841D6"/>
    <w:rsid w:val="00091597"/>
    <w:rsid w:val="000926E5"/>
    <w:rsid w:val="00093776"/>
    <w:rsid w:val="0009412B"/>
    <w:rsid w:val="00096F70"/>
    <w:rsid w:val="00097928"/>
    <w:rsid w:val="000A2B06"/>
    <w:rsid w:val="000A3E05"/>
    <w:rsid w:val="000C168C"/>
    <w:rsid w:val="000C705F"/>
    <w:rsid w:val="000D0FB2"/>
    <w:rsid w:val="000D5C02"/>
    <w:rsid w:val="000E00B4"/>
    <w:rsid w:val="000F5BF9"/>
    <w:rsid w:val="001037C9"/>
    <w:rsid w:val="00104870"/>
    <w:rsid w:val="001049E0"/>
    <w:rsid w:val="00105264"/>
    <w:rsid w:val="001164B5"/>
    <w:rsid w:val="0013078F"/>
    <w:rsid w:val="00132D97"/>
    <w:rsid w:val="00133461"/>
    <w:rsid w:val="00135A9C"/>
    <w:rsid w:val="00136184"/>
    <w:rsid w:val="001365D2"/>
    <w:rsid w:val="001409C3"/>
    <w:rsid w:val="00150360"/>
    <w:rsid w:val="00153858"/>
    <w:rsid w:val="00154725"/>
    <w:rsid w:val="0015736A"/>
    <w:rsid w:val="00162D57"/>
    <w:rsid w:val="00167294"/>
    <w:rsid w:val="00167934"/>
    <w:rsid w:val="00172779"/>
    <w:rsid w:val="00186FAA"/>
    <w:rsid w:val="001938C0"/>
    <w:rsid w:val="001979BC"/>
    <w:rsid w:val="001A3CD6"/>
    <w:rsid w:val="001B19B5"/>
    <w:rsid w:val="001B2908"/>
    <w:rsid w:val="001B36F2"/>
    <w:rsid w:val="001C5A1B"/>
    <w:rsid w:val="001D43BC"/>
    <w:rsid w:val="001D5D19"/>
    <w:rsid w:val="001D6C93"/>
    <w:rsid w:val="001D789A"/>
    <w:rsid w:val="001E4113"/>
    <w:rsid w:val="001E4D43"/>
    <w:rsid w:val="001E6F73"/>
    <w:rsid w:val="001E6F88"/>
    <w:rsid w:val="001F2486"/>
    <w:rsid w:val="001F7259"/>
    <w:rsid w:val="00203113"/>
    <w:rsid w:val="00211E09"/>
    <w:rsid w:val="0021575E"/>
    <w:rsid w:val="00215F9D"/>
    <w:rsid w:val="00233E51"/>
    <w:rsid w:val="00235F72"/>
    <w:rsid w:val="00240B54"/>
    <w:rsid w:val="00241556"/>
    <w:rsid w:val="002420D6"/>
    <w:rsid w:val="00246966"/>
    <w:rsid w:val="0025164B"/>
    <w:rsid w:val="00252DD4"/>
    <w:rsid w:val="002647F8"/>
    <w:rsid w:val="0027252E"/>
    <w:rsid w:val="0027402D"/>
    <w:rsid w:val="0027776F"/>
    <w:rsid w:val="002853C3"/>
    <w:rsid w:val="00285934"/>
    <w:rsid w:val="00290D2C"/>
    <w:rsid w:val="002A2CDB"/>
    <w:rsid w:val="002A3E0E"/>
    <w:rsid w:val="002A6396"/>
    <w:rsid w:val="002C5626"/>
    <w:rsid w:val="002C5FB4"/>
    <w:rsid w:val="002D3A96"/>
    <w:rsid w:val="002D3FC9"/>
    <w:rsid w:val="002F036F"/>
    <w:rsid w:val="0030181F"/>
    <w:rsid w:val="003025BF"/>
    <w:rsid w:val="003209F3"/>
    <w:rsid w:val="0032190E"/>
    <w:rsid w:val="00336369"/>
    <w:rsid w:val="00344761"/>
    <w:rsid w:val="00346490"/>
    <w:rsid w:val="003577D0"/>
    <w:rsid w:val="00357EF8"/>
    <w:rsid w:val="003708D0"/>
    <w:rsid w:val="00370EB4"/>
    <w:rsid w:val="0037213D"/>
    <w:rsid w:val="00380E14"/>
    <w:rsid w:val="003850C5"/>
    <w:rsid w:val="00387C17"/>
    <w:rsid w:val="00391418"/>
    <w:rsid w:val="003B36A0"/>
    <w:rsid w:val="003B53BF"/>
    <w:rsid w:val="003B56BC"/>
    <w:rsid w:val="003C0E64"/>
    <w:rsid w:val="003C3824"/>
    <w:rsid w:val="003C54B8"/>
    <w:rsid w:val="003F1634"/>
    <w:rsid w:val="003F572A"/>
    <w:rsid w:val="00400BCB"/>
    <w:rsid w:val="00414211"/>
    <w:rsid w:val="00416206"/>
    <w:rsid w:val="00423240"/>
    <w:rsid w:val="00431A54"/>
    <w:rsid w:val="004340CB"/>
    <w:rsid w:val="00442988"/>
    <w:rsid w:val="00443436"/>
    <w:rsid w:val="004518A5"/>
    <w:rsid w:val="004559E9"/>
    <w:rsid w:val="0046371B"/>
    <w:rsid w:val="00470B91"/>
    <w:rsid w:val="00470C2E"/>
    <w:rsid w:val="0047128D"/>
    <w:rsid w:val="004852AC"/>
    <w:rsid w:val="00491E85"/>
    <w:rsid w:val="00494350"/>
    <w:rsid w:val="004948DF"/>
    <w:rsid w:val="00494B0B"/>
    <w:rsid w:val="004956BA"/>
    <w:rsid w:val="004A2826"/>
    <w:rsid w:val="004A3F4D"/>
    <w:rsid w:val="004A75C7"/>
    <w:rsid w:val="004B1663"/>
    <w:rsid w:val="004E50EE"/>
    <w:rsid w:val="004F2FA5"/>
    <w:rsid w:val="005102A8"/>
    <w:rsid w:val="00513748"/>
    <w:rsid w:val="00525106"/>
    <w:rsid w:val="00525D2E"/>
    <w:rsid w:val="00541C57"/>
    <w:rsid w:val="00542A08"/>
    <w:rsid w:val="0054364B"/>
    <w:rsid w:val="005441B0"/>
    <w:rsid w:val="00544659"/>
    <w:rsid w:val="00550148"/>
    <w:rsid w:val="0055158E"/>
    <w:rsid w:val="0055218E"/>
    <w:rsid w:val="00557B7A"/>
    <w:rsid w:val="00567D81"/>
    <w:rsid w:val="00570194"/>
    <w:rsid w:val="00573145"/>
    <w:rsid w:val="00576BA5"/>
    <w:rsid w:val="0057706B"/>
    <w:rsid w:val="00580DAA"/>
    <w:rsid w:val="00586F62"/>
    <w:rsid w:val="00590BF6"/>
    <w:rsid w:val="00594DDE"/>
    <w:rsid w:val="005C1444"/>
    <w:rsid w:val="005D4902"/>
    <w:rsid w:val="005E3BF1"/>
    <w:rsid w:val="005F6D8A"/>
    <w:rsid w:val="00621754"/>
    <w:rsid w:val="00631223"/>
    <w:rsid w:val="00631BCC"/>
    <w:rsid w:val="00643732"/>
    <w:rsid w:val="00644664"/>
    <w:rsid w:val="006448FD"/>
    <w:rsid w:val="006457C5"/>
    <w:rsid w:val="00650041"/>
    <w:rsid w:val="00670780"/>
    <w:rsid w:val="006777C3"/>
    <w:rsid w:val="006903C1"/>
    <w:rsid w:val="00692E10"/>
    <w:rsid w:val="006A58A3"/>
    <w:rsid w:val="006A71AD"/>
    <w:rsid w:val="006B2E8F"/>
    <w:rsid w:val="006C1F4B"/>
    <w:rsid w:val="006C234F"/>
    <w:rsid w:val="006C45B7"/>
    <w:rsid w:val="006C47BE"/>
    <w:rsid w:val="006C6FC3"/>
    <w:rsid w:val="006D4051"/>
    <w:rsid w:val="006E06D5"/>
    <w:rsid w:val="006E21B6"/>
    <w:rsid w:val="006E3EFC"/>
    <w:rsid w:val="006E572E"/>
    <w:rsid w:val="006F3C80"/>
    <w:rsid w:val="00700FE1"/>
    <w:rsid w:val="00701E62"/>
    <w:rsid w:val="00703733"/>
    <w:rsid w:val="007040E0"/>
    <w:rsid w:val="00705769"/>
    <w:rsid w:val="00711D0C"/>
    <w:rsid w:val="00711E9F"/>
    <w:rsid w:val="007144AA"/>
    <w:rsid w:val="00715706"/>
    <w:rsid w:val="00716EF9"/>
    <w:rsid w:val="00717C63"/>
    <w:rsid w:val="007234B7"/>
    <w:rsid w:val="00724B56"/>
    <w:rsid w:val="00747215"/>
    <w:rsid w:val="00747CC6"/>
    <w:rsid w:val="007765B3"/>
    <w:rsid w:val="0077765F"/>
    <w:rsid w:val="00790EA3"/>
    <w:rsid w:val="007939DC"/>
    <w:rsid w:val="00795BF3"/>
    <w:rsid w:val="007A02B2"/>
    <w:rsid w:val="007A358C"/>
    <w:rsid w:val="007A4CAF"/>
    <w:rsid w:val="007B1E92"/>
    <w:rsid w:val="007B7240"/>
    <w:rsid w:val="007B79BB"/>
    <w:rsid w:val="007C1262"/>
    <w:rsid w:val="007D1DF8"/>
    <w:rsid w:val="007D2584"/>
    <w:rsid w:val="007D48EB"/>
    <w:rsid w:val="007D7314"/>
    <w:rsid w:val="007E367A"/>
    <w:rsid w:val="007F18FF"/>
    <w:rsid w:val="007F5278"/>
    <w:rsid w:val="00802B67"/>
    <w:rsid w:val="0081007B"/>
    <w:rsid w:val="00812A01"/>
    <w:rsid w:val="00820613"/>
    <w:rsid w:val="008279C2"/>
    <w:rsid w:val="00837B60"/>
    <w:rsid w:val="0084741A"/>
    <w:rsid w:val="00871C9F"/>
    <w:rsid w:val="00875911"/>
    <w:rsid w:val="0088024A"/>
    <w:rsid w:val="00892128"/>
    <w:rsid w:val="008967C1"/>
    <w:rsid w:val="008B03BD"/>
    <w:rsid w:val="008B23E1"/>
    <w:rsid w:val="008D085F"/>
    <w:rsid w:val="008E4B76"/>
    <w:rsid w:val="008F7A97"/>
    <w:rsid w:val="008F7FAA"/>
    <w:rsid w:val="00900DF0"/>
    <w:rsid w:val="00901209"/>
    <w:rsid w:val="00906275"/>
    <w:rsid w:val="009071F8"/>
    <w:rsid w:val="0091247A"/>
    <w:rsid w:val="00913500"/>
    <w:rsid w:val="00913E22"/>
    <w:rsid w:val="00931790"/>
    <w:rsid w:val="0093272F"/>
    <w:rsid w:val="009424B6"/>
    <w:rsid w:val="00943722"/>
    <w:rsid w:val="009509CA"/>
    <w:rsid w:val="00953949"/>
    <w:rsid w:val="009559DE"/>
    <w:rsid w:val="00960C09"/>
    <w:rsid w:val="00961207"/>
    <w:rsid w:val="00963793"/>
    <w:rsid w:val="00967C4B"/>
    <w:rsid w:val="0097283E"/>
    <w:rsid w:val="00972E63"/>
    <w:rsid w:val="0097462C"/>
    <w:rsid w:val="00974ADB"/>
    <w:rsid w:val="00983D0B"/>
    <w:rsid w:val="009879B8"/>
    <w:rsid w:val="009945E2"/>
    <w:rsid w:val="00996A79"/>
    <w:rsid w:val="009A332B"/>
    <w:rsid w:val="009A4704"/>
    <w:rsid w:val="009A7741"/>
    <w:rsid w:val="009B4394"/>
    <w:rsid w:val="009B492B"/>
    <w:rsid w:val="009C23A4"/>
    <w:rsid w:val="009C4EA3"/>
    <w:rsid w:val="009C71CB"/>
    <w:rsid w:val="009D0781"/>
    <w:rsid w:val="009D556C"/>
    <w:rsid w:val="009E424C"/>
    <w:rsid w:val="009F0BA6"/>
    <w:rsid w:val="009F1ABC"/>
    <w:rsid w:val="009F1D79"/>
    <w:rsid w:val="009F7A0A"/>
    <w:rsid w:val="00A0525C"/>
    <w:rsid w:val="00A1210D"/>
    <w:rsid w:val="00A1597B"/>
    <w:rsid w:val="00A1749B"/>
    <w:rsid w:val="00A17684"/>
    <w:rsid w:val="00A17CDC"/>
    <w:rsid w:val="00A27030"/>
    <w:rsid w:val="00A30C4F"/>
    <w:rsid w:val="00A33080"/>
    <w:rsid w:val="00A43DE1"/>
    <w:rsid w:val="00A52586"/>
    <w:rsid w:val="00A608A0"/>
    <w:rsid w:val="00A60A53"/>
    <w:rsid w:val="00A632BA"/>
    <w:rsid w:val="00A64165"/>
    <w:rsid w:val="00A84D58"/>
    <w:rsid w:val="00A854A8"/>
    <w:rsid w:val="00A948FB"/>
    <w:rsid w:val="00AB1B07"/>
    <w:rsid w:val="00AB378A"/>
    <w:rsid w:val="00AC679D"/>
    <w:rsid w:val="00AC6CDC"/>
    <w:rsid w:val="00AD6ED4"/>
    <w:rsid w:val="00AE1098"/>
    <w:rsid w:val="00AF3E85"/>
    <w:rsid w:val="00AF576F"/>
    <w:rsid w:val="00B20CB2"/>
    <w:rsid w:val="00B21BD1"/>
    <w:rsid w:val="00B23FD5"/>
    <w:rsid w:val="00B26316"/>
    <w:rsid w:val="00B32C39"/>
    <w:rsid w:val="00B36263"/>
    <w:rsid w:val="00B40E3E"/>
    <w:rsid w:val="00B419DC"/>
    <w:rsid w:val="00B41CFE"/>
    <w:rsid w:val="00B515DE"/>
    <w:rsid w:val="00B52D38"/>
    <w:rsid w:val="00B57AEE"/>
    <w:rsid w:val="00B64D74"/>
    <w:rsid w:val="00B65FF0"/>
    <w:rsid w:val="00B70E1C"/>
    <w:rsid w:val="00B74E5C"/>
    <w:rsid w:val="00B80624"/>
    <w:rsid w:val="00B8469B"/>
    <w:rsid w:val="00B90899"/>
    <w:rsid w:val="00B91FC0"/>
    <w:rsid w:val="00B9319A"/>
    <w:rsid w:val="00BB1930"/>
    <w:rsid w:val="00BB77E5"/>
    <w:rsid w:val="00BD39CA"/>
    <w:rsid w:val="00BE5211"/>
    <w:rsid w:val="00BE5D4D"/>
    <w:rsid w:val="00BE65D7"/>
    <w:rsid w:val="00BE7D96"/>
    <w:rsid w:val="00BF31DF"/>
    <w:rsid w:val="00C07109"/>
    <w:rsid w:val="00C0737A"/>
    <w:rsid w:val="00C109F4"/>
    <w:rsid w:val="00C10AA8"/>
    <w:rsid w:val="00C1197C"/>
    <w:rsid w:val="00C1455D"/>
    <w:rsid w:val="00C14BC0"/>
    <w:rsid w:val="00C15BDF"/>
    <w:rsid w:val="00C266FC"/>
    <w:rsid w:val="00C32212"/>
    <w:rsid w:val="00C3276D"/>
    <w:rsid w:val="00C46FE1"/>
    <w:rsid w:val="00C56B68"/>
    <w:rsid w:val="00C60B0D"/>
    <w:rsid w:val="00C61237"/>
    <w:rsid w:val="00C72B80"/>
    <w:rsid w:val="00C72E85"/>
    <w:rsid w:val="00C859E3"/>
    <w:rsid w:val="00C870E0"/>
    <w:rsid w:val="00C92D21"/>
    <w:rsid w:val="00C93D33"/>
    <w:rsid w:val="00C96599"/>
    <w:rsid w:val="00CA1255"/>
    <w:rsid w:val="00CA3983"/>
    <w:rsid w:val="00CB2324"/>
    <w:rsid w:val="00CB4217"/>
    <w:rsid w:val="00CB72D5"/>
    <w:rsid w:val="00CC4ABE"/>
    <w:rsid w:val="00CC5516"/>
    <w:rsid w:val="00CD3091"/>
    <w:rsid w:val="00CD79D6"/>
    <w:rsid w:val="00CE156F"/>
    <w:rsid w:val="00CE6C8C"/>
    <w:rsid w:val="00D036AF"/>
    <w:rsid w:val="00D14C03"/>
    <w:rsid w:val="00D16650"/>
    <w:rsid w:val="00D1677B"/>
    <w:rsid w:val="00D31502"/>
    <w:rsid w:val="00D43E77"/>
    <w:rsid w:val="00D451BF"/>
    <w:rsid w:val="00D47A6A"/>
    <w:rsid w:val="00D55E01"/>
    <w:rsid w:val="00D7135A"/>
    <w:rsid w:val="00D72D52"/>
    <w:rsid w:val="00D7317D"/>
    <w:rsid w:val="00D751DC"/>
    <w:rsid w:val="00D81E61"/>
    <w:rsid w:val="00D91ABB"/>
    <w:rsid w:val="00D96ABC"/>
    <w:rsid w:val="00DB0099"/>
    <w:rsid w:val="00DB05C2"/>
    <w:rsid w:val="00DC2F9A"/>
    <w:rsid w:val="00DD0BF4"/>
    <w:rsid w:val="00DD7DBA"/>
    <w:rsid w:val="00DE62E8"/>
    <w:rsid w:val="00DF659A"/>
    <w:rsid w:val="00E0088E"/>
    <w:rsid w:val="00E00E2D"/>
    <w:rsid w:val="00E03233"/>
    <w:rsid w:val="00E033CE"/>
    <w:rsid w:val="00E05A65"/>
    <w:rsid w:val="00E15128"/>
    <w:rsid w:val="00E20005"/>
    <w:rsid w:val="00E21A89"/>
    <w:rsid w:val="00E3531E"/>
    <w:rsid w:val="00E36D99"/>
    <w:rsid w:val="00E4019B"/>
    <w:rsid w:val="00E42211"/>
    <w:rsid w:val="00E43180"/>
    <w:rsid w:val="00E53CAC"/>
    <w:rsid w:val="00E62ECE"/>
    <w:rsid w:val="00E64C51"/>
    <w:rsid w:val="00E65DB7"/>
    <w:rsid w:val="00E74E4C"/>
    <w:rsid w:val="00E83C1D"/>
    <w:rsid w:val="00E855E2"/>
    <w:rsid w:val="00EA06DF"/>
    <w:rsid w:val="00EA39AB"/>
    <w:rsid w:val="00EB7720"/>
    <w:rsid w:val="00ED2574"/>
    <w:rsid w:val="00ED2F93"/>
    <w:rsid w:val="00ED412A"/>
    <w:rsid w:val="00ED6CFF"/>
    <w:rsid w:val="00EE3CB2"/>
    <w:rsid w:val="00EF078B"/>
    <w:rsid w:val="00EF0BC7"/>
    <w:rsid w:val="00EF17EF"/>
    <w:rsid w:val="00F01E23"/>
    <w:rsid w:val="00F02F8D"/>
    <w:rsid w:val="00F12DD3"/>
    <w:rsid w:val="00F200AF"/>
    <w:rsid w:val="00F21086"/>
    <w:rsid w:val="00F2152A"/>
    <w:rsid w:val="00F24E6E"/>
    <w:rsid w:val="00F3622B"/>
    <w:rsid w:val="00F37403"/>
    <w:rsid w:val="00F5040F"/>
    <w:rsid w:val="00F55BB2"/>
    <w:rsid w:val="00F612DB"/>
    <w:rsid w:val="00F61338"/>
    <w:rsid w:val="00F80177"/>
    <w:rsid w:val="00F81A18"/>
    <w:rsid w:val="00F86DA7"/>
    <w:rsid w:val="00F903D6"/>
    <w:rsid w:val="00F94115"/>
    <w:rsid w:val="00F95219"/>
    <w:rsid w:val="00FA7939"/>
    <w:rsid w:val="00FB5F54"/>
    <w:rsid w:val="00FC31EB"/>
    <w:rsid w:val="00FD18AB"/>
    <w:rsid w:val="00FD33E8"/>
    <w:rsid w:val="00FD4F5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393391-8F93-4886-BC18-FA59D700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B52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.tw/MLMS/H00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r.fda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Safety/MedWatch/SafetyInformation/SafetyAlertsforHumanMedicalProducts/ucm597862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BE06-7ABE-4F7C-B216-0DB7BE30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胡雅姿</cp:lastModifiedBy>
  <cp:revision>2</cp:revision>
  <cp:lastPrinted>2018-03-13T09:16:00Z</cp:lastPrinted>
  <dcterms:created xsi:type="dcterms:W3CDTF">2018-06-13T11:53:00Z</dcterms:created>
  <dcterms:modified xsi:type="dcterms:W3CDTF">2018-06-13T11:53:00Z</dcterms:modified>
</cp:coreProperties>
</file>